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CD5F" w14:textId="77777777" w:rsidR="003175CA" w:rsidRDefault="003175CA" w:rsidP="003175CA">
      <w:pPr>
        <w:pStyle w:val="Heading1"/>
      </w:pPr>
      <w:r>
        <w:t>Template for Article 32 written reports</w:t>
      </w:r>
    </w:p>
    <w:p w14:paraId="04157042" w14:textId="77777777" w:rsidR="003175CA" w:rsidRDefault="003175CA" w:rsidP="003175CA"/>
    <w:p w14:paraId="4580570A" w14:textId="77777777" w:rsidR="003175CA" w:rsidRDefault="003175CA" w:rsidP="003175CA">
      <w:r>
        <w:rPr>
          <w:i/>
        </w:rPr>
        <w:t>In accordance with Article 32 of the Asia Pacific Parliamentary Forum Rules of Procedure, where a resolution is adopted by the Annual meeting, the country tabling that resolution shall provide the next host country with a written report on how that resolution has been put into effect no later than two months prior to the opening date of the next Annual Meeting.</w:t>
      </w:r>
    </w:p>
    <w:p w14:paraId="6797E3E9" w14:textId="45EFB1C4" w:rsidR="003175CA" w:rsidRDefault="003175CA" w:rsidP="003175CA">
      <w:r>
        <w:t>Please submit to the host country secretariat no later than two months prior to the opening date of the Annual Meeting</w:t>
      </w:r>
      <w:r w:rsidR="005402F6">
        <w:t>.</w:t>
      </w:r>
    </w:p>
    <w:p w14:paraId="490F5436" w14:textId="77777777" w:rsidR="003175CA" w:rsidRDefault="003175CA" w:rsidP="003175CA">
      <w:r>
        <w:t xml:space="preserve"> </w:t>
      </w:r>
    </w:p>
    <w:tbl>
      <w:tblPr>
        <w:tblStyle w:val="TableGrid"/>
        <w:tblW w:w="0" w:type="auto"/>
        <w:tblLook w:val="04A0" w:firstRow="1" w:lastRow="0" w:firstColumn="1" w:lastColumn="0" w:noHBand="0" w:noVBand="1"/>
      </w:tblPr>
      <w:tblGrid>
        <w:gridCol w:w="2376"/>
        <w:gridCol w:w="6866"/>
      </w:tblGrid>
      <w:tr w:rsidR="003175CA" w14:paraId="4185A803" w14:textId="77777777" w:rsidTr="00E50BFA">
        <w:tc>
          <w:tcPr>
            <w:tcW w:w="2376" w:type="dxa"/>
            <w:shd w:val="clear" w:color="auto" w:fill="BFBFBF" w:themeFill="background1" w:themeFillShade="BF"/>
          </w:tcPr>
          <w:p w14:paraId="6C1E6B0A" w14:textId="77777777" w:rsidR="003175CA" w:rsidRDefault="003175CA" w:rsidP="00E50BFA">
            <w:pPr>
              <w:spacing w:before="120" w:after="120"/>
              <w:rPr>
                <w:b/>
              </w:rPr>
            </w:pPr>
            <w:r>
              <w:rPr>
                <w:b/>
              </w:rPr>
              <w:t>Country name:</w:t>
            </w:r>
          </w:p>
        </w:tc>
        <w:tc>
          <w:tcPr>
            <w:tcW w:w="6866" w:type="dxa"/>
          </w:tcPr>
          <w:p w14:paraId="65FD4D26" w14:textId="77777777" w:rsidR="003175CA" w:rsidRDefault="003175CA" w:rsidP="00E50BFA">
            <w:pPr>
              <w:spacing w:before="120" w:after="120"/>
            </w:pPr>
            <w:r>
              <w:t>Canada</w:t>
            </w:r>
          </w:p>
        </w:tc>
      </w:tr>
      <w:tr w:rsidR="003175CA" w14:paraId="121C9A88" w14:textId="77777777" w:rsidTr="00E50BFA">
        <w:tc>
          <w:tcPr>
            <w:tcW w:w="2376" w:type="dxa"/>
            <w:shd w:val="clear" w:color="auto" w:fill="BFBFBF" w:themeFill="background1" w:themeFillShade="BF"/>
          </w:tcPr>
          <w:p w14:paraId="3F8B4292" w14:textId="77777777" w:rsidR="003175CA" w:rsidRPr="003D46DB" w:rsidRDefault="003175CA" w:rsidP="00E50BFA">
            <w:pPr>
              <w:spacing w:before="120" w:after="120"/>
              <w:rPr>
                <w:b/>
              </w:rPr>
            </w:pPr>
            <w:r>
              <w:rPr>
                <w:b/>
              </w:rPr>
              <w:t>Resolution:</w:t>
            </w:r>
          </w:p>
        </w:tc>
        <w:tc>
          <w:tcPr>
            <w:tcW w:w="6866" w:type="dxa"/>
          </w:tcPr>
          <w:p w14:paraId="5C85BFD1" w14:textId="3B863838" w:rsidR="003175CA" w:rsidRDefault="009D5358" w:rsidP="00F35525">
            <w:pPr>
              <w:spacing w:before="120" w:after="120"/>
            </w:pPr>
            <w:hyperlink r:id="rId8" w:history="1">
              <w:r w:rsidR="00F35525" w:rsidRPr="000B5944">
                <w:rPr>
                  <w:rStyle w:val="Hyperlink"/>
                </w:rPr>
                <w:t>APPF29/RES/13</w:t>
              </w:r>
            </w:hyperlink>
            <w:r w:rsidR="00F35525">
              <w:t xml:space="preserve"> Resolution on achieving gender equality by increasing women’s participation and representation</w:t>
            </w:r>
          </w:p>
        </w:tc>
      </w:tr>
      <w:tr w:rsidR="003175CA" w14:paraId="619E5569" w14:textId="77777777" w:rsidTr="00E50BFA">
        <w:tc>
          <w:tcPr>
            <w:tcW w:w="2376" w:type="dxa"/>
            <w:shd w:val="clear" w:color="auto" w:fill="BFBFBF" w:themeFill="background1" w:themeFillShade="BF"/>
          </w:tcPr>
          <w:p w14:paraId="6E611291" w14:textId="77777777" w:rsidR="003175CA" w:rsidRPr="006E0948" w:rsidRDefault="003175CA" w:rsidP="00E50BFA">
            <w:pPr>
              <w:spacing w:before="120" w:after="120"/>
              <w:rPr>
                <w:b/>
              </w:rPr>
            </w:pPr>
            <w:r>
              <w:rPr>
                <w:b/>
              </w:rPr>
              <w:t>Sponsoring c</w:t>
            </w:r>
            <w:r w:rsidRPr="006E0948">
              <w:rPr>
                <w:b/>
              </w:rPr>
              <w:t>ountry</w:t>
            </w:r>
            <w:r>
              <w:rPr>
                <w:b/>
              </w:rPr>
              <w:t>/countries</w:t>
            </w:r>
            <w:r w:rsidRPr="006E0948">
              <w:rPr>
                <w:b/>
              </w:rPr>
              <w:t>:</w:t>
            </w:r>
          </w:p>
        </w:tc>
        <w:tc>
          <w:tcPr>
            <w:tcW w:w="6866" w:type="dxa"/>
          </w:tcPr>
          <w:p w14:paraId="1D12499A" w14:textId="2489171C" w:rsidR="003175CA" w:rsidRPr="000B5944" w:rsidRDefault="00E53CE9" w:rsidP="00E50BFA">
            <w:pPr>
              <w:spacing w:before="120" w:after="120"/>
              <w:rPr>
                <w:lang w:val="en-CA"/>
              </w:rPr>
            </w:pPr>
            <w:r w:rsidRPr="00E53CE9">
              <w:t xml:space="preserve">Republic of Korea, Canada, Indonesia, Mexico, </w:t>
            </w:r>
            <w:r w:rsidR="005D6B8B">
              <w:t xml:space="preserve">the </w:t>
            </w:r>
            <w:r w:rsidRPr="00E53CE9">
              <w:t>Russian Federation and Viet</w:t>
            </w:r>
            <w:r w:rsidR="00230D3A">
              <w:t>n</w:t>
            </w:r>
            <w:r w:rsidRPr="00E53CE9">
              <w:t>am</w:t>
            </w:r>
          </w:p>
        </w:tc>
      </w:tr>
      <w:tr w:rsidR="003175CA" w14:paraId="02351B27" w14:textId="77777777" w:rsidTr="00E50BFA">
        <w:tc>
          <w:tcPr>
            <w:tcW w:w="2376" w:type="dxa"/>
            <w:shd w:val="clear" w:color="auto" w:fill="BFBFBF" w:themeFill="background1" w:themeFillShade="BF"/>
          </w:tcPr>
          <w:p w14:paraId="123F8D64" w14:textId="77777777" w:rsidR="003175CA" w:rsidRPr="006E0948" w:rsidRDefault="003175CA" w:rsidP="00E50BFA">
            <w:pPr>
              <w:spacing w:before="120" w:after="120"/>
              <w:rPr>
                <w:b/>
              </w:rPr>
            </w:pPr>
            <w:r>
              <w:rPr>
                <w:b/>
              </w:rPr>
              <w:t>Summary</w:t>
            </w:r>
            <w:r w:rsidRPr="006E0948">
              <w:rPr>
                <w:b/>
              </w:rPr>
              <w:t>:</w:t>
            </w:r>
          </w:p>
        </w:tc>
        <w:tc>
          <w:tcPr>
            <w:tcW w:w="6866" w:type="dxa"/>
          </w:tcPr>
          <w:p w14:paraId="02C2B20C" w14:textId="77777777" w:rsidR="003175CA" w:rsidRDefault="003175CA" w:rsidP="00E50BFA">
            <w:pPr>
              <w:spacing w:before="120" w:after="120"/>
            </w:pPr>
          </w:p>
        </w:tc>
      </w:tr>
    </w:tbl>
    <w:p w14:paraId="4A5F61C4" w14:textId="77777777" w:rsidR="003175CA" w:rsidRDefault="003175CA" w:rsidP="003175CA">
      <w:pPr>
        <w:sectPr w:rsidR="003175CA" w:rsidSect="00436CE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p w14:paraId="48366853" w14:textId="77777777" w:rsidR="003175CA" w:rsidRDefault="003175CA" w:rsidP="003175CA">
      <w:pPr>
        <w:pStyle w:val="Heading2"/>
      </w:pPr>
      <w:r>
        <w:lastRenderedPageBreak/>
        <w:t>Detailed response to resolutions</w:t>
      </w:r>
    </w:p>
    <w:p w14:paraId="6A4D1F54" w14:textId="76D342ED" w:rsidR="003175CA" w:rsidRPr="0091587A" w:rsidRDefault="003175CA" w:rsidP="003175CA">
      <w:r>
        <w:t>At the 2</w:t>
      </w:r>
      <w:r w:rsidR="00757539">
        <w:t>9</w:t>
      </w:r>
      <w:r w:rsidRPr="00C951F1">
        <w:rPr>
          <w:vertAlign w:val="superscript"/>
        </w:rPr>
        <w:t>th</w:t>
      </w:r>
      <w:r>
        <w:t xml:space="preserve"> Annual Meeting of the Asia</w:t>
      </w:r>
      <w:r w:rsidR="00C919C1">
        <w:t>-</w:t>
      </w:r>
      <w:r>
        <w:t>Pacific Parliamentary Forum, the parliamentarians of the APPF resolved to:</w:t>
      </w:r>
    </w:p>
    <w:tbl>
      <w:tblPr>
        <w:tblStyle w:val="TableGrid"/>
        <w:tblW w:w="5000" w:type="pct"/>
        <w:tblLook w:val="04A0" w:firstRow="1" w:lastRow="0" w:firstColumn="1" w:lastColumn="0" w:noHBand="0" w:noVBand="1"/>
      </w:tblPr>
      <w:tblGrid>
        <w:gridCol w:w="4045"/>
        <w:gridCol w:w="9903"/>
      </w:tblGrid>
      <w:tr w:rsidR="003175CA" w:rsidRPr="00DF2413" w14:paraId="2726C9A8" w14:textId="77777777" w:rsidTr="37E1D18E">
        <w:trPr>
          <w:tblHeader/>
        </w:trPr>
        <w:tc>
          <w:tcPr>
            <w:tcW w:w="1450" w:type="pct"/>
            <w:shd w:val="clear" w:color="auto" w:fill="0D0D0D" w:themeFill="text1" w:themeFillTint="F2"/>
          </w:tcPr>
          <w:p w14:paraId="2BB7B7ED" w14:textId="77777777" w:rsidR="003175CA" w:rsidRPr="00DF2413" w:rsidRDefault="003175CA" w:rsidP="00E50BFA">
            <w:pPr>
              <w:pStyle w:val="Default"/>
              <w:spacing w:before="120" w:after="120"/>
              <w:rPr>
                <w:rFonts w:ascii="Arial" w:hAnsi="Arial" w:cstheme="minorBidi"/>
                <w:b/>
                <w:color w:val="auto"/>
                <w:sz w:val="22"/>
                <w:szCs w:val="22"/>
              </w:rPr>
            </w:pPr>
            <w:r w:rsidRPr="00DF2413">
              <w:rPr>
                <w:rFonts w:ascii="Arial" w:hAnsi="Arial" w:cstheme="minorBidi"/>
                <w:b/>
                <w:color w:val="auto"/>
                <w:sz w:val="22"/>
                <w:szCs w:val="22"/>
              </w:rPr>
              <w:t>Resolution</w:t>
            </w:r>
          </w:p>
        </w:tc>
        <w:tc>
          <w:tcPr>
            <w:tcW w:w="3550" w:type="pct"/>
            <w:shd w:val="clear" w:color="auto" w:fill="0D0D0D" w:themeFill="text1" w:themeFillTint="F2"/>
          </w:tcPr>
          <w:p w14:paraId="4217D3D7" w14:textId="77777777" w:rsidR="003175CA" w:rsidRPr="00DF2413" w:rsidRDefault="003175CA" w:rsidP="00E50BFA">
            <w:pPr>
              <w:spacing w:before="120" w:after="120"/>
              <w:rPr>
                <w:b/>
              </w:rPr>
            </w:pPr>
            <w:r>
              <w:rPr>
                <w:b/>
              </w:rPr>
              <w:t>Status update</w:t>
            </w:r>
          </w:p>
        </w:tc>
      </w:tr>
      <w:tr w:rsidR="003175CA" w14:paraId="015BC58C" w14:textId="77777777" w:rsidTr="37E1D18E">
        <w:tc>
          <w:tcPr>
            <w:tcW w:w="1450" w:type="pct"/>
            <w:shd w:val="clear" w:color="auto" w:fill="F2F2F2" w:themeFill="background1" w:themeFillShade="F2"/>
          </w:tcPr>
          <w:p w14:paraId="1612F0C0" w14:textId="74B10642" w:rsidR="003175CA" w:rsidRDefault="004D1731" w:rsidP="00C9252A">
            <w:pPr>
              <w:pStyle w:val="Default"/>
              <w:numPr>
                <w:ilvl w:val="0"/>
                <w:numId w:val="2"/>
              </w:numPr>
              <w:spacing w:before="120" w:after="120"/>
              <w:rPr>
                <w:rFonts w:asciiTheme="minorHAnsi" w:eastAsiaTheme="minorEastAsia" w:hAnsiTheme="minorHAnsi" w:cstheme="minorBidi"/>
                <w:color w:val="000000" w:themeColor="text1"/>
              </w:rPr>
            </w:pPr>
            <w:r w:rsidRPr="004D1731">
              <w:rPr>
                <w:b/>
                <w:bCs/>
              </w:rPr>
              <w:t xml:space="preserve">Strengthen </w:t>
            </w:r>
            <w:r w:rsidRPr="004D1731">
              <w:t>the parliamentary actions focused on gender-responsive recovery policies and strategies including advocating for, initiating, debating and enacting law reform to support gender equality and women’s representation and counter violence directed at women, especially parliamentarians, so that women can participate equally and meaningfully in all sectors and at all decision-making levels;</w:t>
            </w:r>
          </w:p>
        </w:tc>
        <w:tc>
          <w:tcPr>
            <w:tcW w:w="3550" w:type="pct"/>
          </w:tcPr>
          <w:p w14:paraId="6FAAAA7F" w14:textId="0CD7C796" w:rsidR="003175CA" w:rsidRDefault="00DE7F76" w:rsidP="00E50BFA">
            <w:pPr>
              <w:spacing w:before="120" w:after="120"/>
            </w:pPr>
            <w:r>
              <w:t xml:space="preserve">In Canada’s Senate, </w:t>
            </w:r>
            <w:hyperlink r:id="rId15" w:history="1">
              <w:r w:rsidRPr="00C849E8">
                <w:rPr>
                  <w:rStyle w:val="Hyperlink"/>
                </w:rPr>
                <w:t>g</w:t>
              </w:r>
              <w:r w:rsidR="00D50C63" w:rsidRPr="00C849E8">
                <w:rPr>
                  <w:rStyle w:val="Hyperlink"/>
                </w:rPr>
                <w:t>ender parity w</w:t>
              </w:r>
              <w:r w:rsidR="00D50C63" w:rsidRPr="00C849E8">
                <w:rPr>
                  <w:rStyle w:val="Hyperlink"/>
                </w:rPr>
                <w:t>a</w:t>
              </w:r>
              <w:r w:rsidR="00D50C63" w:rsidRPr="00C849E8">
                <w:rPr>
                  <w:rStyle w:val="Hyperlink"/>
                </w:rPr>
                <w:t>s reached</w:t>
              </w:r>
            </w:hyperlink>
            <w:r w:rsidR="00D50C63">
              <w:t xml:space="preserve"> for the first time in 2020</w:t>
            </w:r>
            <w:r w:rsidR="008D3D8A">
              <w:t xml:space="preserve">. </w:t>
            </w:r>
            <w:r w:rsidR="00C951F1">
              <w:t>As of 15 August 2022, women held</w:t>
            </w:r>
            <w:r w:rsidR="00C849E8">
              <w:t xml:space="preserve"> </w:t>
            </w:r>
            <w:hyperlink r:id="rId16" w:history="1">
              <w:r w:rsidR="00C849E8" w:rsidRPr="001B4F84">
                <w:rPr>
                  <w:rStyle w:val="Hyperlink"/>
                </w:rPr>
                <w:t>4</w:t>
              </w:r>
              <w:r w:rsidR="00C849E8" w:rsidRPr="001B4F84">
                <w:rPr>
                  <w:rStyle w:val="Hyperlink"/>
                </w:rPr>
                <w:t>4</w:t>
              </w:r>
            </w:hyperlink>
            <w:r w:rsidR="00C849E8">
              <w:t xml:space="preserve"> </w:t>
            </w:r>
            <w:r w:rsidR="00C951F1">
              <w:t>of the Senate’s</w:t>
            </w:r>
            <w:r w:rsidR="00C849E8">
              <w:t xml:space="preserve"> 88 occupied seats</w:t>
            </w:r>
            <w:r w:rsidR="00C951F1">
              <w:t>; on that date</w:t>
            </w:r>
            <w:r w:rsidR="00C849E8">
              <w:t xml:space="preserve">, 17 </w:t>
            </w:r>
            <w:r w:rsidR="00C951F1">
              <w:t xml:space="preserve">seats were </w:t>
            </w:r>
            <w:r w:rsidR="00C849E8">
              <w:t>vacan</w:t>
            </w:r>
            <w:r w:rsidR="00C951F1">
              <w:t>t</w:t>
            </w:r>
            <w:r w:rsidR="00C849E8">
              <w:t xml:space="preserve">. </w:t>
            </w:r>
            <w:r w:rsidR="00D6156D">
              <w:t xml:space="preserve">Women’s representation in the House of Commons </w:t>
            </w:r>
            <w:r w:rsidR="006831EE">
              <w:t xml:space="preserve">increased </w:t>
            </w:r>
            <w:r w:rsidR="005D6B8B">
              <w:t xml:space="preserve">between the </w:t>
            </w:r>
            <w:r w:rsidR="00C849E8">
              <w:t xml:space="preserve">previous </w:t>
            </w:r>
            <w:r w:rsidR="00C951F1">
              <w:t>and the current</w:t>
            </w:r>
            <w:r w:rsidR="005D6B8B">
              <w:t xml:space="preserve"> Parliaments. </w:t>
            </w:r>
            <w:r w:rsidR="00C951F1">
              <w:t>Since</w:t>
            </w:r>
            <w:r w:rsidR="005D6B8B">
              <w:t xml:space="preserve"> </w:t>
            </w:r>
            <w:r w:rsidR="004F1C5D">
              <w:t>20</w:t>
            </w:r>
            <w:r w:rsidR="00C849E8">
              <w:t xml:space="preserve"> </w:t>
            </w:r>
            <w:r w:rsidR="005D6B8B">
              <w:t>September 2021, women h</w:t>
            </w:r>
            <w:r w:rsidR="00C951F1">
              <w:t>ave h</w:t>
            </w:r>
            <w:r w:rsidR="005D6B8B">
              <w:t>eld</w:t>
            </w:r>
            <w:r w:rsidR="006831EE">
              <w:t xml:space="preserve"> </w:t>
            </w:r>
            <w:hyperlink r:id="rId17" w:history="1">
              <w:r w:rsidR="006831EE" w:rsidRPr="00A23571">
                <w:rPr>
                  <w:rStyle w:val="Hyperlink"/>
                </w:rPr>
                <w:t>1</w:t>
              </w:r>
              <w:r w:rsidR="006831EE" w:rsidRPr="00A23571">
                <w:rPr>
                  <w:rStyle w:val="Hyperlink"/>
                </w:rPr>
                <w:t>0</w:t>
              </w:r>
              <w:r w:rsidR="006831EE" w:rsidRPr="00A23571">
                <w:rPr>
                  <w:rStyle w:val="Hyperlink"/>
                </w:rPr>
                <w:t>3</w:t>
              </w:r>
            </w:hyperlink>
            <w:r w:rsidR="006831EE">
              <w:t xml:space="preserve"> of the 338 seats</w:t>
            </w:r>
            <w:r w:rsidR="004F1C5D">
              <w:t xml:space="preserve"> in the House</w:t>
            </w:r>
            <w:r w:rsidR="0054118F">
              <w:t>.</w:t>
            </w:r>
          </w:p>
        </w:tc>
      </w:tr>
      <w:tr w:rsidR="003175CA" w14:paraId="07F38FAE" w14:textId="77777777" w:rsidTr="37E1D18E">
        <w:tc>
          <w:tcPr>
            <w:tcW w:w="1450" w:type="pct"/>
            <w:shd w:val="clear" w:color="auto" w:fill="F2F2F2" w:themeFill="background1" w:themeFillShade="F2"/>
          </w:tcPr>
          <w:p w14:paraId="38B645A1" w14:textId="415B3893" w:rsidR="003175CA" w:rsidRDefault="00524A91" w:rsidP="00C9252A">
            <w:pPr>
              <w:pStyle w:val="Default"/>
              <w:numPr>
                <w:ilvl w:val="0"/>
                <w:numId w:val="2"/>
              </w:numPr>
              <w:spacing w:before="120" w:after="120"/>
              <w:rPr>
                <w:rFonts w:ascii="Arial" w:hAnsi="Arial" w:cstheme="minorBidi"/>
                <w:color w:val="auto"/>
                <w:sz w:val="22"/>
                <w:szCs w:val="22"/>
              </w:rPr>
            </w:pPr>
            <w:r w:rsidRPr="00524A91">
              <w:rPr>
                <w:b/>
                <w:bCs/>
              </w:rPr>
              <w:t xml:space="preserve">Promote </w:t>
            </w:r>
            <w:r w:rsidRPr="00524A91">
              <w:t>the implementation of the SDG 5 on gender equality as well as SDG 16 on peace, justice and strong institutions by facilitating women’s participation in national and regional mechanisms to resolve conflicts, build peace and secure women’s and children’s rights</w:t>
            </w:r>
            <w:r w:rsidR="003175CA" w:rsidRPr="00524A91">
              <w:t>;</w:t>
            </w:r>
          </w:p>
        </w:tc>
        <w:tc>
          <w:tcPr>
            <w:tcW w:w="3550" w:type="pct"/>
          </w:tcPr>
          <w:p w14:paraId="439A0D0D" w14:textId="0CA307FB" w:rsidR="00527A42" w:rsidRDefault="00070345" w:rsidP="00E50BFA">
            <w:pPr>
              <w:spacing w:before="120" w:after="120"/>
            </w:pPr>
            <w:r>
              <w:t>Statistics Canada track</w:t>
            </w:r>
            <w:r w:rsidR="005D6B8B">
              <w:t>s the progress that</w:t>
            </w:r>
            <w:r>
              <w:t xml:space="preserve"> Canada</w:t>
            </w:r>
            <w:r w:rsidR="005D6B8B">
              <w:t xml:space="preserve"> is making toward </w:t>
            </w:r>
            <w:r w:rsidR="004F1C5D">
              <w:t>attaining</w:t>
            </w:r>
            <w:r w:rsidR="005D6B8B">
              <w:t xml:space="preserve"> the United Nations’ </w:t>
            </w:r>
            <w:r w:rsidR="00DE7F76">
              <w:t xml:space="preserve">2030 Agenda for </w:t>
            </w:r>
            <w:r w:rsidR="00C849E8">
              <w:t>Sustainable</w:t>
            </w:r>
            <w:r w:rsidR="00DE7F76">
              <w:t xml:space="preserve"> Development and its </w:t>
            </w:r>
            <w:r w:rsidR="005D6B8B">
              <w:t>Sustainable Development Goals (SDGs)</w:t>
            </w:r>
            <w:r>
              <w:t xml:space="preserve">. </w:t>
            </w:r>
            <w:r w:rsidR="005D6B8B">
              <w:t>Regarding</w:t>
            </w:r>
            <w:r>
              <w:t xml:space="preserve"> </w:t>
            </w:r>
            <w:hyperlink r:id="rId18">
              <w:r w:rsidRPr="00CD6F96">
                <w:rPr>
                  <w:rStyle w:val="Hyperlink"/>
                </w:rPr>
                <w:t>SDG</w:t>
              </w:r>
              <w:r w:rsidRPr="00CD6F96">
                <w:rPr>
                  <w:rStyle w:val="Hyperlink"/>
                </w:rPr>
                <w:t xml:space="preserve"> </w:t>
              </w:r>
              <w:r w:rsidR="00762348" w:rsidRPr="00CD6F96">
                <w:rPr>
                  <w:rStyle w:val="Hyperlink"/>
                </w:rPr>
                <w:t>5</w:t>
              </w:r>
            </w:hyperlink>
            <w:r>
              <w:t xml:space="preserve">, </w:t>
            </w:r>
            <w:r w:rsidR="005D6B8B">
              <w:t>which focuse</w:t>
            </w:r>
            <w:r w:rsidR="001B4F84">
              <w:t>s</w:t>
            </w:r>
            <w:r w:rsidR="005D6B8B">
              <w:t xml:space="preserve"> on </w:t>
            </w:r>
            <w:r w:rsidR="001B4F84" w:rsidRPr="00DA0BA7">
              <w:t>achieving</w:t>
            </w:r>
            <w:r w:rsidR="001B4F84">
              <w:t xml:space="preserve"> gender equality and empowering women and girls</w:t>
            </w:r>
            <w:r w:rsidR="005D6B8B">
              <w:t xml:space="preserve">, </w:t>
            </w:r>
            <w:r>
              <w:t>Stat</w:t>
            </w:r>
            <w:r w:rsidR="005D6B8B">
              <w:t>i</w:t>
            </w:r>
            <w:r>
              <w:t>s</w:t>
            </w:r>
            <w:r w:rsidR="005D6B8B">
              <w:t xml:space="preserve">tics </w:t>
            </w:r>
            <w:r>
              <w:t>Can</w:t>
            </w:r>
            <w:r w:rsidR="005D6B8B">
              <w:t>ada</w:t>
            </w:r>
            <w:r>
              <w:t xml:space="preserve"> </w:t>
            </w:r>
            <w:hyperlink r:id="rId19" w:history="1">
              <w:r w:rsidRPr="000F3F15">
                <w:rPr>
                  <w:rStyle w:val="Hyperlink"/>
                </w:rPr>
                <w:t>repo</w:t>
              </w:r>
              <w:r w:rsidRPr="000F3F15">
                <w:rPr>
                  <w:rStyle w:val="Hyperlink"/>
                </w:rPr>
                <w:t>r</w:t>
              </w:r>
              <w:r w:rsidRPr="000F3F15">
                <w:rPr>
                  <w:rStyle w:val="Hyperlink"/>
                </w:rPr>
                <w:t>ts</w:t>
              </w:r>
            </w:hyperlink>
            <w:r>
              <w:t xml:space="preserve"> that</w:t>
            </w:r>
            <w:r w:rsidR="00ED627E">
              <w:t xml:space="preserve"> </w:t>
            </w:r>
            <w:r w:rsidR="00ED627E" w:rsidRPr="00ED627E">
              <w:t xml:space="preserve">Canada </w:t>
            </w:r>
            <w:r w:rsidR="00ED627E">
              <w:t>ha</w:t>
            </w:r>
            <w:r w:rsidR="004F1C5D">
              <w:t>s</w:t>
            </w:r>
            <w:r w:rsidR="00ED627E">
              <w:t xml:space="preserve"> a number of</w:t>
            </w:r>
            <w:r w:rsidR="00ED627E" w:rsidRPr="00ED627E">
              <w:t xml:space="preserve"> legal </w:t>
            </w:r>
            <w:r w:rsidR="00ED627E">
              <w:t>instruments</w:t>
            </w:r>
            <w:r w:rsidR="00ED627E" w:rsidRPr="00ED627E">
              <w:t xml:space="preserve"> in place to promote, enforce and monitor equality and non-discrimination on the basis of sex</w:t>
            </w:r>
            <w:r w:rsidR="004F1C5D">
              <w:t>. These instruments</w:t>
            </w:r>
            <w:r w:rsidR="00AA7F04">
              <w:t xml:space="preserve"> includ</w:t>
            </w:r>
            <w:r w:rsidR="004F1C5D">
              <w:t>e</w:t>
            </w:r>
            <w:r w:rsidR="00AA7F04">
              <w:t xml:space="preserve"> t</w:t>
            </w:r>
            <w:r w:rsidR="00ED627E" w:rsidRPr="00ED627E">
              <w:t xml:space="preserve">he </w:t>
            </w:r>
            <w:r w:rsidR="00ED627E" w:rsidRPr="00C951F1">
              <w:rPr>
                <w:i/>
                <w:iCs/>
              </w:rPr>
              <w:t>Canadian Charter of Rights and Freedoms</w:t>
            </w:r>
            <w:r w:rsidR="00AA7F04">
              <w:t xml:space="preserve"> and federal, provincial and territorial human rights statutes.</w:t>
            </w:r>
          </w:p>
        </w:tc>
      </w:tr>
      <w:tr w:rsidR="003175CA" w14:paraId="5135A2C9" w14:textId="77777777" w:rsidTr="37E1D18E">
        <w:tc>
          <w:tcPr>
            <w:tcW w:w="1450" w:type="pct"/>
            <w:shd w:val="clear" w:color="auto" w:fill="F2F2F2" w:themeFill="background1" w:themeFillShade="F2"/>
          </w:tcPr>
          <w:p w14:paraId="25DBC587" w14:textId="144D4A1A" w:rsidR="003175CA" w:rsidRDefault="00524A91" w:rsidP="00D15F8D">
            <w:pPr>
              <w:pStyle w:val="Default"/>
              <w:keepNext/>
              <w:numPr>
                <w:ilvl w:val="0"/>
                <w:numId w:val="2"/>
              </w:numPr>
              <w:spacing w:before="120" w:after="120"/>
              <w:rPr>
                <w:rFonts w:ascii="Arial" w:hAnsi="Arial" w:cstheme="minorBidi"/>
                <w:color w:val="auto"/>
                <w:sz w:val="22"/>
                <w:szCs w:val="22"/>
              </w:rPr>
            </w:pPr>
            <w:r w:rsidRPr="00524A91">
              <w:rPr>
                <w:b/>
                <w:bCs/>
              </w:rPr>
              <w:lastRenderedPageBreak/>
              <w:t xml:space="preserve">Call on </w:t>
            </w:r>
            <w:r w:rsidRPr="00524A91">
              <w:t>APPF Member Countries to create an enabling environment for more women to hold senior, managerial, and decision-making positions in public and private sectors;</w:t>
            </w:r>
          </w:p>
        </w:tc>
        <w:tc>
          <w:tcPr>
            <w:tcW w:w="3550" w:type="pct"/>
          </w:tcPr>
          <w:p w14:paraId="6081D94C" w14:textId="5EBB0673" w:rsidR="003175CA" w:rsidRDefault="00ED627E" w:rsidP="00D15F8D">
            <w:pPr>
              <w:keepNext/>
              <w:spacing w:before="120" w:after="120"/>
            </w:pPr>
            <w:r>
              <w:t>On</w:t>
            </w:r>
            <w:r w:rsidR="3E6F50AD">
              <w:t xml:space="preserve"> Women’s Day 2022, Stat</w:t>
            </w:r>
            <w:r w:rsidR="005D6B8B">
              <w:t>istic</w:t>
            </w:r>
            <w:r w:rsidR="3E6F50AD">
              <w:t>s</w:t>
            </w:r>
            <w:r w:rsidR="005D6B8B">
              <w:t xml:space="preserve"> </w:t>
            </w:r>
            <w:r w:rsidR="3E6F50AD">
              <w:t>Can</w:t>
            </w:r>
            <w:r w:rsidR="005D6B8B">
              <w:t>ada</w:t>
            </w:r>
            <w:r w:rsidR="3E6F50AD">
              <w:t xml:space="preserve"> released a </w:t>
            </w:r>
            <w:hyperlink r:id="rId20">
              <w:r w:rsidR="3E6F50AD" w:rsidRPr="3E6F50AD">
                <w:rPr>
                  <w:rStyle w:val="Hyperlink"/>
                </w:rPr>
                <w:t>re</w:t>
              </w:r>
              <w:r w:rsidR="3E6F50AD" w:rsidRPr="3E6F50AD">
                <w:rPr>
                  <w:rStyle w:val="Hyperlink"/>
                </w:rPr>
                <w:t>p</w:t>
              </w:r>
              <w:r w:rsidR="3E6F50AD" w:rsidRPr="3E6F50AD">
                <w:rPr>
                  <w:rStyle w:val="Hyperlink"/>
                </w:rPr>
                <w:t>ort</w:t>
              </w:r>
            </w:hyperlink>
            <w:r w:rsidR="3E6F50AD">
              <w:t xml:space="preserve"> about women’s participation in management</w:t>
            </w:r>
            <w:r>
              <w:t xml:space="preserve"> in </w:t>
            </w:r>
            <w:r w:rsidR="00F208C6">
              <w:t>both the public and private sectors</w:t>
            </w:r>
            <w:r w:rsidR="3E6F50AD">
              <w:t xml:space="preserve">. Compared to two decades ago, there are more women in management </w:t>
            </w:r>
            <w:r w:rsidR="00F208C6">
              <w:t>occupations</w:t>
            </w:r>
            <w:r w:rsidR="00A0180E">
              <w:t>, a</w:t>
            </w:r>
            <w:r w:rsidR="00F208C6">
              <w:t xml:space="preserve"> category </w:t>
            </w:r>
            <w:r w:rsidR="00A0180E">
              <w:t xml:space="preserve">that – </w:t>
            </w:r>
            <w:hyperlink r:id="rId21" w:history="1">
              <w:r w:rsidR="00F208C6" w:rsidRPr="000D36FF">
                <w:rPr>
                  <w:rStyle w:val="Hyperlink"/>
                </w:rPr>
                <w:t>according to Stat</w:t>
              </w:r>
              <w:r w:rsidR="00A0180E" w:rsidRPr="00864C7D">
                <w:rPr>
                  <w:rStyle w:val="Hyperlink"/>
                </w:rPr>
                <w:t>istic</w:t>
              </w:r>
              <w:r w:rsidR="00F208C6" w:rsidRPr="00864C7D">
                <w:rPr>
                  <w:rStyle w:val="Hyperlink"/>
                </w:rPr>
                <w:t>s</w:t>
              </w:r>
              <w:r w:rsidR="00A0180E" w:rsidRPr="00864C7D">
                <w:rPr>
                  <w:rStyle w:val="Hyperlink"/>
                </w:rPr>
                <w:t xml:space="preserve"> </w:t>
              </w:r>
              <w:r w:rsidR="00F208C6" w:rsidRPr="000D36FF">
                <w:rPr>
                  <w:rStyle w:val="Hyperlink"/>
                </w:rPr>
                <w:t>Can</w:t>
              </w:r>
              <w:r w:rsidR="00A0180E" w:rsidRPr="000D36FF">
                <w:rPr>
                  <w:rStyle w:val="Hyperlink"/>
                </w:rPr>
                <w:t>ada</w:t>
              </w:r>
            </w:hyperlink>
            <w:r w:rsidR="00F208C6">
              <w:t xml:space="preserve"> </w:t>
            </w:r>
            <w:r w:rsidR="00A0180E">
              <w:t xml:space="preserve">– </w:t>
            </w:r>
            <w:r w:rsidR="000D36FF">
              <w:t>comprises</w:t>
            </w:r>
            <w:r w:rsidR="00A0180E">
              <w:t xml:space="preserve"> middle managers, senior managers and legislators. </w:t>
            </w:r>
            <w:r w:rsidR="3E6F50AD">
              <w:t xml:space="preserve">In 2021, women </w:t>
            </w:r>
            <w:r w:rsidR="00A0180E">
              <w:t xml:space="preserve">in Canada </w:t>
            </w:r>
            <w:r w:rsidR="3E6F50AD">
              <w:t>accounted for 35.6% of people aged 15 years and o</w:t>
            </w:r>
            <w:r w:rsidR="00A63918">
              <w:t>ld</w:t>
            </w:r>
            <w:r w:rsidR="3E6F50AD">
              <w:t xml:space="preserve">er employed in management occupations, </w:t>
            </w:r>
            <w:r w:rsidR="00A63918">
              <w:t>an increase from</w:t>
            </w:r>
            <w:r w:rsidR="3E6F50AD">
              <w:t xml:space="preserve"> 33.6% in 2001. At the senior management level, the proportion</w:t>
            </w:r>
            <w:r w:rsidR="00A63918">
              <w:t>s were</w:t>
            </w:r>
            <w:r w:rsidR="3E6F50AD">
              <w:t xml:space="preserve"> 24.1% in 2001 </w:t>
            </w:r>
            <w:r w:rsidR="00A63918">
              <w:t>and</w:t>
            </w:r>
            <w:r w:rsidR="3E6F50AD">
              <w:t xml:space="preserve"> 30.9% in 2021.</w:t>
            </w:r>
          </w:p>
          <w:p w14:paraId="7B35922C" w14:textId="5F350046" w:rsidR="003175CA" w:rsidRDefault="00A63918" w:rsidP="00D15F8D">
            <w:pPr>
              <w:keepNext/>
              <w:spacing w:before="120" w:after="120"/>
              <w:rPr>
                <w:rFonts w:eastAsia="Calibri" w:cs="Arial"/>
              </w:rPr>
            </w:pPr>
            <w:r w:rsidRPr="00C951F1">
              <w:rPr>
                <w:rFonts w:eastAsia="Calibri" w:cs="Arial"/>
              </w:rPr>
              <w:t>Increasingly</w:t>
            </w:r>
            <w:r>
              <w:rPr>
                <w:rFonts w:eastAsia="Calibri" w:cs="Arial"/>
              </w:rPr>
              <w:t xml:space="preserve">, </w:t>
            </w:r>
            <w:r w:rsidR="3E6F50AD" w:rsidRPr="3E6F50AD">
              <w:rPr>
                <w:rFonts w:eastAsia="Calibri" w:cs="Arial"/>
              </w:rPr>
              <w:t>women occup</w:t>
            </w:r>
            <w:r>
              <w:rPr>
                <w:rFonts w:eastAsia="Calibri" w:cs="Arial"/>
              </w:rPr>
              <w:t>y</w:t>
            </w:r>
            <w:r w:rsidR="3E6F50AD" w:rsidRPr="3E6F50AD">
              <w:rPr>
                <w:rFonts w:eastAsia="Calibri" w:cs="Arial"/>
              </w:rPr>
              <w:t xml:space="preserve"> leadership and decision-making positions in </w:t>
            </w:r>
            <w:r w:rsidR="00800D06">
              <w:rPr>
                <w:rFonts w:eastAsia="Calibri" w:cs="Arial"/>
              </w:rPr>
              <w:t>Canada’s</w:t>
            </w:r>
            <w:r w:rsidR="00F208C6">
              <w:rPr>
                <w:rFonts w:eastAsia="Calibri" w:cs="Arial"/>
              </w:rPr>
              <w:t xml:space="preserve"> public sector, including in </w:t>
            </w:r>
            <w:r w:rsidR="00C951F1">
              <w:rPr>
                <w:rFonts w:eastAsia="Calibri" w:cs="Arial"/>
              </w:rPr>
              <w:t>P</w:t>
            </w:r>
            <w:r w:rsidR="00F208C6">
              <w:rPr>
                <w:rFonts w:eastAsia="Calibri" w:cs="Arial"/>
              </w:rPr>
              <w:t>arliament</w:t>
            </w:r>
            <w:r w:rsidR="3E6F50AD" w:rsidRPr="3E6F50AD">
              <w:rPr>
                <w:rFonts w:eastAsia="Calibri" w:cs="Arial"/>
              </w:rPr>
              <w:t xml:space="preserve">. As of </w:t>
            </w:r>
            <w:r>
              <w:rPr>
                <w:rFonts w:eastAsia="Calibri" w:cs="Arial"/>
              </w:rPr>
              <w:t xml:space="preserve">1 </w:t>
            </w:r>
            <w:r w:rsidR="3E6F50AD" w:rsidRPr="3E6F50AD">
              <w:rPr>
                <w:rFonts w:eastAsia="Calibri" w:cs="Arial"/>
              </w:rPr>
              <w:t xml:space="preserve">August 2022, women </w:t>
            </w:r>
            <w:r>
              <w:rPr>
                <w:rFonts w:eastAsia="Calibri" w:cs="Arial"/>
              </w:rPr>
              <w:t>held</w:t>
            </w:r>
            <w:r w:rsidR="3E6F50AD" w:rsidRPr="3E6F50AD">
              <w:rPr>
                <w:rFonts w:eastAsia="Calibri" w:cs="Arial"/>
              </w:rPr>
              <w:t xml:space="preserve"> 30.5% of</w:t>
            </w:r>
            <w:r>
              <w:rPr>
                <w:rFonts w:eastAsia="Calibri" w:cs="Arial"/>
              </w:rPr>
              <w:t xml:space="preserve"> the seats in the House of Commons, </w:t>
            </w:r>
            <w:r w:rsidR="004F1C5D">
              <w:rPr>
                <w:rFonts w:eastAsia="Calibri" w:cs="Arial"/>
              </w:rPr>
              <w:t xml:space="preserve">which is the highest-ever proportion and </w:t>
            </w:r>
            <w:r>
              <w:rPr>
                <w:rFonts w:eastAsia="Calibri" w:cs="Arial"/>
              </w:rPr>
              <w:t>an increase of</w:t>
            </w:r>
            <w:r w:rsidR="3E6F50AD" w:rsidRPr="3E6F50AD">
              <w:rPr>
                <w:rFonts w:eastAsia="Calibri" w:cs="Arial"/>
              </w:rPr>
              <w:t xml:space="preserve"> </w:t>
            </w:r>
            <w:r>
              <w:rPr>
                <w:rFonts w:eastAsia="Calibri" w:cs="Arial"/>
              </w:rPr>
              <w:t>more than</w:t>
            </w:r>
            <w:r w:rsidR="3E6F50AD" w:rsidRPr="3E6F50AD">
              <w:rPr>
                <w:rFonts w:eastAsia="Calibri" w:cs="Arial"/>
              </w:rPr>
              <w:t xml:space="preserve"> </w:t>
            </w:r>
            <w:r w:rsidR="00C951F1">
              <w:rPr>
                <w:rFonts w:eastAsia="Calibri" w:cs="Arial"/>
              </w:rPr>
              <w:t>nine</w:t>
            </w:r>
            <w:r w:rsidR="3E6F50AD" w:rsidRPr="3E6F50AD">
              <w:rPr>
                <w:rFonts w:eastAsia="Calibri" w:cs="Arial"/>
              </w:rPr>
              <w:t xml:space="preserve"> percentage points </w:t>
            </w:r>
            <w:r>
              <w:rPr>
                <w:rFonts w:eastAsia="Calibri" w:cs="Arial"/>
              </w:rPr>
              <w:t>over</w:t>
            </w:r>
            <w:r w:rsidR="3E6F50AD" w:rsidRPr="3E6F50AD">
              <w:rPr>
                <w:rFonts w:eastAsia="Calibri" w:cs="Arial"/>
              </w:rPr>
              <w:t xml:space="preserve"> the last two decades. </w:t>
            </w:r>
            <w:r w:rsidR="004F1C5D">
              <w:rPr>
                <w:rFonts w:eastAsia="Calibri" w:cs="Arial"/>
              </w:rPr>
              <w:t>Concerning</w:t>
            </w:r>
            <w:r w:rsidR="3E6F50AD" w:rsidRPr="3E6F50AD">
              <w:rPr>
                <w:rFonts w:eastAsia="Calibri" w:cs="Arial"/>
              </w:rPr>
              <w:t xml:space="preserve"> women’s representation in federal ministerial positions</w:t>
            </w:r>
            <w:r w:rsidR="004F1C5D">
              <w:rPr>
                <w:rFonts w:eastAsia="Calibri" w:cs="Arial"/>
              </w:rPr>
              <w:t>, a</w:t>
            </w:r>
            <w:r w:rsidR="3E6F50AD" w:rsidRPr="3E6F50AD">
              <w:rPr>
                <w:rFonts w:eastAsia="Calibri" w:cs="Arial"/>
              </w:rPr>
              <w:t xml:space="preserve">s of </w:t>
            </w:r>
            <w:r w:rsidR="00C919C1">
              <w:rPr>
                <w:rFonts w:eastAsia="Calibri" w:cs="Arial"/>
              </w:rPr>
              <w:t>1</w:t>
            </w:r>
            <w:r w:rsidR="00F62DD0">
              <w:rPr>
                <w:rFonts w:eastAsia="Calibri" w:cs="Arial"/>
              </w:rPr>
              <w:t>5</w:t>
            </w:r>
            <w:r w:rsidR="00C919C1">
              <w:rPr>
                <w:rFonts w:eastAsia="Calibri" w:cs="Arial"/>
              </w:rPr>
              <w:t xml:space="preserve"> </w:t>
            </w:r>
            <w:r w:rsidR="3E6F50AD" w:rsidRPr="3E6F50AD">
              <w:rPr>
                <w:rFonts w:eastAsia="Calibri" w:cs="Arial"/>
              </w:rPr>
              <w:t>August 2022, 48.7%</w:t>
            </w:r>
            <w:r w:rsidR="00F62DD0">
              <w:rPr>
                <w:rFonts w:eastAsia="Calibri" w:cs="Arial"/>
              </w:rPr>
              <w:t xml:space="preserve"> –</w:t>
            </w:r>
            <w:r w:rsidR="00F208C6">
              <w:rPr>
                <w:rFonts w:eastAsia="Calibri" w:cs="Arial"/>
              </w:rPr>
              <w:t xml:space="preserve"> or 19 out of 3</w:t>
            </w:r>
            <w:r w:rsidR="000D36FF">
              <w:rPr>
                <w:rFonts w:eastAsia="Calibri" w:cs="Arial"/>
              </w:rPr>
              <w:t>9</w:t>
            </w:r>
            <w:r w:rsidR="00F62DD0">
              <w:rPr>
                <w:rFonts w:eastAsia="Calibri" w:cs="Arial"/>
              </w:rPr>
              <w:t xml:space="preserve"> –</w:t>
            </w:r>
            <w:r w:rsidR="3E6F50AD" w:rsidRPr="3E6F50AD">
              <w:rPr>
                <w:rFonts w:eastAsia="Calibri" w:cs="Arial"/>
              </w:rPr>
              <w:t xml:space="preserve"> of </w:t>
            </w:r>
            <w:r w:rsidR="00C919C1">
              <w:rPr>
                <w:rFonts w:eastAsia="Calibri" w:cs="Arial"/>
              </w:rPr>
              <w:t xml:space="preserve">the </w:t>
            </w:r>
            <w:r w:rsidR="00A0180E">
              <w:rPr>
                <w:rFonts w:eastAsia="Calibri" w:cs="Arial"/>
              </w:rPr>
              <w:t>individuals</w:t>
            </w:r>
            <w:r w:rsidR="3E6F50AD" w:rsidRPr="3E6F50AD">
              <w:rPr>
                <w:rFonts w:eastAsia="Calibri" w:cs="Arial"/>
              </w:rPr>
              <w:t xml:space="preserve"> appointed to</w:t>
            </w:r>
            <w:r w:rsidR="00F208C6">
              <w:rPr>
                <w:rFonts w:eastAsia="Calibri" w:cs="Arial"/>
              </w:rPr>
              <w:t xml:space="preserve"> </w:t>
            </w:r>
            <w:hyperlink r:id="rId22">
              <w:r w:rsidR="3E6F50AD" w:rsidRPr="3E6F50AD">
                <w:rPr>
                  <w:rStyle w:val="Hyperlink"/>
                  <w:rFonts w:eastAsia="Calibri" w:cs="Arial"/>
                </w:rPr>
                <w:t>Ca</w:t>
              </w:r>
              <w:r w:rsidR="3E6F50AD" w:rsidRPr="3E6F50AD">
                <w:rPr>
                  <w:rStyle w:val="Hyperlink"/>
                  <w:rFonts w:eastAsia="Calibri" w:cs="Arial"/>
                </w:rPr>
                <w:t>b</w:t>
              </w:r>
              <w:r w:rsidR="3E6F50AD" w:rsidRPr="3E6F50AD">
                <w:rPr>
                  <w:rStyle w:val="Hyperlink"/>
                  <w:rFonts w:eastAsia="Calibri" w:cs="Arial"/>
                </w:rPr>
                <w:t>inet</w:t>
              </w:r>
            </w:hyperlink>
            <w:r w:rsidR="3E6F50AD" w:rsidRPr="3E6F50AD">
              <w:rPr>
                <w:rFonts w:eastAsia="Calibri" w:cs="Arial"/>
              </w:rPr>
              <w:t xml:space="preserve"> </w:t>
            </w:r>
            <w:r w:rsidR="00C919C1">
              <w:rPr>
                <w:rFonts w:eastAsia="Calibri" w:cs="Arial"/>
              </w:rPr>
              <w:t>were women</w:t>
            </w:r>
            <w:r w:rsidR="00642C0F">
              <w:rPr>
                <w:rFonts w:eastAsia="Calibri" w:cs="Arial"/>
              </w:rPr>
              <w:t>; two decades ago</w:t>
            </w:r>
            <w:r w:rsidR="00C919C1">
              <w:rPr>
                <w:rFonts w:eastAsia="Calibri" w:cs="Arial"/>
              </w:rPr>
              <w:t xml:space="preserve">, </w:t>
            </w:r>
            <w:r w:rsidR="00642C0F">
              <w:rPr>
                <w:rFonts w:eastAsia="Calibri" w:cs="Arial"/>
              </w:rPr>
              <w:t>this</w:t>
            </w:r>
            <w:r w:rsidR="00C919C1">
              <w:rPr>
                <w:rFonts w:eastAsia="Calibri" w:cs="Arial"/>
              </w:rPr>
              <w:t xml:space="preserve"> proportion </w:t>
            </w:r>
            <w:r w:rsidR="000D36FF">
              <w:rPr>
                <w:rFonts w:eastAsia="Calibri" w:cs="Arial"/>
              </w:rPr>
              <w:t>was</w:t>
            </w:r>
            <w:r w:rsidR="3E6F50AD" w:rsidRPr="3E6F50AD">
              <w:rPr>
                <w:rFonts w:eastAsia="Calibri" w:cs="Arial"/>
              </w:rPr>
              <w:t xml:space="preserve"> 24.3%.</w:t>
            </w:r>
          </w:p>
        </w:tc>
      </w:tr>
      <w:tr w:rsidR="003175CA" w14:paraId="4927D20D" w14:textId="77777777" w:rsidTr="37E1D18E">
        <w:tc>
          <w:tcPr>
            <w:tcW w:w="1450" w:type="pct"/>
            <w:shd w:val="clear" w:color="auto" w:fill="F2F2F2" w:themeFill="background1" w:themeFillShade="F2"/>
          </w:tcPr>
          <w:p w14:paraId="11B2DC27" w14:textId="255199F3" w:rsidR="003175CA" w:rsidRPr="00DA0BA7" w:rsidRDefault="005A6DEA" w:rsidP="00C9252A">
            <w:pPr>
              <w:pStyle w:val="Default"/>
              <w:numPr>
                <w:ilvl w:val="0"/>
                <w:numId w:val="2"/>
              </w:numPr>
              <w:spacing w:before="120" w:after="120"/>
            </w:pPr>
            <w:r w:rsidRPr="00C951F1">
              <w:t xml:space="preserve">Call on </w:t>
            </w:r>
            <w:r w:rsidRPr="00B23276">
              <w:t>the APPF Executive Committee to consider APPF’s own rules and recommend changes to the Plenary Session to ensure female representation on the Executive Committee</w:t>
            </w:r>
            <w:r w:rsidR="003175CA" w:rsidRPr="00B23276">
              <w:t>;</w:t>
            </w:r>
          </w:p>
        </w:tc>
        <w:tc>
          <w:tcPr>
            <w:tcW w:w="3550" w:type="pct"/>
          </w:tcPr>
          <w:p w14:paraId="1A2CF1C0" w14:textId="7104A141" w:rsidR="008C34C9" w:rsidRDefault="00A0180E" w:rsidP="00E50BFA">
            <w:pPr>
              <w:spacing w:before="120" w:after="120"/>
            </w:pPr>
            <w:r>
              <w:t>In April 2019, t</w:t>
            </w:r>
            <w:r w:rsidR="008C34C9">
              <w:t xml:space="preserve">he </w:t>
            </w:r>
            <w:r>
              <w:t xml:space="preserve">House of Commons </w:t>
            </w:r>
            <w:r w:rsidR="008C34C9" w:rsidRPr="008C34C9">
              <w:t>Standing Committee on the Status of Women</w:t>
            </w:r>
            <w:r w:rsidR="008C34C9">
              <w:t xml:space="preserve"> </w:t>
            </w:r>
            <w:r>
              <w:t>released</w:t>
            </w:r>
            <w:r w:rsidR="008C34C9">
              <w:t xml:space="preserve"> a </w:t>
            </w:r>
            <w:hyperlink r:id="rId23" w:history="1">
              <w:r w:rsidR="008C34C9" w:rsidRPr="008C34C9">
                <w:rPr>
                  <w:rStyle w:val="Hyperlink"/>
                </w:rPr>
                <w:t>re</w:t>
              </w:r>
              <w:r w:rsidR="008C34C9" w:rsidRPr="008C34C9">
                <w:rPr>
                  <w:rStyle w:val="Hyperlink"/>
                </w:rPr>
                <w:t>p</w:t>
              </w:r>
              <w:r w:rsidR="008C34C9" w:rsidRPr="008C34C9">
                <w:rPr>
                  <w:rStyle w:val="Hyperlink"/>
                </w:rPr>
                <w:t>ort</w:t>
              </w:r>
            </w:hyperlink>
            <w:r w:rsidR="008C34C9">
              <w:t xml:space="preserve"> recommend</w:t>
            </w:r>
            <w:r w:rsidR="00642C0F">
              <w:t>ing</w:t>
            </w:r>
            <w:r w:rsidR="008C34C9">
              <w:t xml:space="preserve"> </w:t>
            </w:r>
            <w:r>
              <w:t xml:space="preserve">that </w:t>
            </w:r>
            <w:r w:rsidR="008C34C9">
              <w:t>the Government of Canada</w:t>
            </w:r>
            <w:r>
              <w:t xml:space="preserve"> should</w:t>
            </w:r>
            <w:r w:rsidR="008C34C9">
              <w:t xml:space="preserve"> “urge all jurisdictions to discuss ways to make legislatures more gender diverse</w:t>
            </w:r>
            <w:r>
              <w:t>.</w:t>
            </w:r>
            <w:r w:rsidR="005539FF">
              <w:t xml:space="preserve">” </w:t>
            </w:r>
            <w:r>
              <w:t>A</w:t>
            </w:r>
            <w:r w:rsidR="005539FF">
              <w:t>s well</w:t>
            </w:r>
            <w:r>
              <w:t xml:space="preserve">, the </w:t>
            </w:r>
            <w:r w:rsidR="00642C0F">
              <w:t xml:space="preserve">report’s </w:t>
            </w:r>
            <w:r>
              <w:t>recommendations</w:t>
            </w:r>
            <w:r w:rsidR="005539FF">
              <w:t xml:space="preserve"> encourag</w:t>
            </w:r>
            <w:r>
              <w:t>ed</w:t>
            </w:r>
            <w:r w:rsidR="005539FF">
              <w:t xml:space="preserve"> organizations “to set goals and publicly report on their efforts </w:t>
            </w:r>
            <w:r w:rsidR="004138B3">
              <w:t>…</w:t>
            </w:r>
            <w:r w:rsidR="005539FF">
              <w:t xml:space="preserve"> to achieve gender parity on their boards of directors, including in positions of leadership.”</w:t>
            </w:r>
          </w:p>
          <w:p w14:paraId="15B4838F" w14:textId="5CB27AE1" w:rsidR="003175CA" w:rsidRDefault="00A0180E" w:rsidP="00E50BFA">
            <w:pPr>
              <w:spacing w:before="120" w:after="120"/>
            </w:pPr>
            <w:r>
              <w:t xml:space="preserve">In July 2020, </w:t>
            </w:r>
            <w:r w:rsidR="008C34C9" w:rsidRPr="008C34C9">
              <w:t>Women and Gender Equality Canada</w:t>
            </w:r>
            <w:r w:rsidR="008C34C9">
              <w:t xml:space="preserve"> issued a </w:t>
            </w:r>
            <w:hyperlink r:id="rId24" w:history="1">
              <w:r w:rsidR="008C34C9" w:rsidRPr="005539FF">
                <w:rPr>
                  <w:rStyle w:val="Hyperlink"/>
                </w:rPr>
                <w:t>state</w:t>
              </w:r>
              <w:r w:rsidR="008C34C9" w:rsidRPr="005539FF">
                <w:rPr>
                  <w:rStyle w:val="Hyperlink"/>
                </w:rPr>
                <w:t>m</w:t>
              </w:r>
              <w:r w:rsidR="008C34C9" w:rsidRPr="005539FF">
                <w:rPr>
                  <w:rStyle w:val="Hyperlink"/>
                </w:rPr>
                <w:t>ent</w:t>
              </w:r>
            </w:hyperlink>
            <w:r w:rsidR="005539FF">
              <w:t xml:space="preserve"> </w:t>
            </w:r>
            <w:r>
              <w:t>indicating its determination to</w:t>
            </w:r>
            <w:r w:rsidR="005539FF">
              <w:t xml:space="preserve"> “</w:t>
            </w:r>
            <w:r w:rsidR="005539FF" w:rsidRPr="005539FF">
              <w:t xml:space="preserve">reinforce </w:t>
            </w:r>
            <w:r w:rsidR="005539FF">
              <w:t>[its]</w:t>
            </w:r>
            <w:r w:rsidR="005539FF" w:rsidRPr="005539FF">
              <w:t xml:space="preserve"> commitment </w:t>
            </w:r>
            <w:r w:rsidR="005539FF">
              <w:t>…</w:t>
            </w:r>
            <w:r w:rsidR="005539FF" w:rsidRPr="005539FF">
              <w:t xml:space="preserve"> to advance gender equality for all women and girls both in Canada and internationally</w:t>
            </w:r>
            <w:r w:rsidR="005539FF">
              <w:t>,” as well as</w:t>
            </w:r>
            <w:r w:rsidR="00D05E36">
              <w:t xml:space="preserve"> to</w:t>
            </w:r>
            <w:r w:rsidR="005539FF">
              <w:t xml:space="preserve"> </w:t>
            </w:r>
            <w:r w:rsidR="005539FF" w:rsidRPr="005539FF">
              <w:t>striv</w:t>
            </w:r>
            <w:r w:rsidR="00D05E36">
              <w:t>e “</w:t>
            </w:r>
            <w:r w:rsidR="005539FF" w:rsidRPr="005539FF">
              <w:t xml:space="preserve">to engage on and contribute to advancing </w:t>
            </w:r>
            <w:r w:rsidR="005539FF">
              <w:t xml:space="preserve">… </w:t>
            </w:r>
            <w:r w:rsidR="005539FF" w:rsidRPr="005539FF">
              <w:t>gender equality and the empowerment of all women and girls through our international assistance and multilateralism.</w:t>
            </w:r>
            <w:r w:rsidR="00D05E36">
              <w:t>” The statement referenced</w:t>
            </w:r>
            <w:r w:rsidR="005539FF" w:rsidRPr="005539FF">
              <w:t xml:space="preserve"> Canada</w:t>
            </w:r>
            <w:r w:rsidR="00D05E36">
              <w:t>’s</w:t>
            </w:r>
            <w:r w:rsidR="005539FF" w:rsidRPr="005539FF">
              <w:t xml:space="preserve"> Feminist International Assistance Policy, </w:t>
            </w:r>
            <w:r w:rsidR="00D05E36">
              <w:t>which</w:t>
            </w:r>
            <w:r w:rsidR="005539FF" w:rsidRPr="005539FF">
              <w:t xml:space="preserve"> </w:t>
            </w:r>
            <w:r w:rsidR="00D05E36">
              <w:t>“</w:t>
            </w:r>
            <w:r w:rsidR="005539FF" w:rsidRPr="005539FF">
              <w:t>supports the economic, political and social empowerment of women and girls in all their diversity, and makes gender equality a priority.</w:t>
            </w:r>
            <w:r w:rsidR="005539FF">
              <w:t>”</w:t>
            </w:r>
          </w:p>
        </w:tc>
      </w:tr>
      <w:tr w:rsidR="003175CA" w14:paraId="51D32313" w14:textId="77777777" w:rsidTr="37E1D18E">
        <w:tc>
          <w:tcPr>
            <w:tcW w:w="1450" w:type="pct"/>
            <w:shd w:val="clear" w:color="auto" w:fill="F2F2F2" w:themeFill="background1" w:themeFillShade="F2"/>
          </w:tcPr>
          <w:p w14:paraId="17B2130B" w14:textId="0610DBAB" w:rsidR="003175CA" w:rsidRDefault="005A6DEA" w:rsidP="00C9252A">
            <w:pPr>
              <w:pStyle w:val="Default"/>
              <w:numPr>
                <w:ilvl w:val="0"/>
                <w:numId w:val="2"/>
              </w:numPr>
              <w:spacing w:before="120" w:after="120"/>
              <w:rPr>
                <w:b/>
                <w:bCs/>
                <w:sz w:val="23"/>
                <w:szCs w:val="23"/>
              </w:rPr>
            </w:pPr>
            <w:r w:rsidRPr="005A6DEA">
              <w:rPr>
                <w:b/>
                <w:bCs/>
              </w:rPr>
              <w:t xml:space="preserve">Encourage </w:t>
            </w:r>
            <w:r w:rsidRPr="005A6DEA">
              <w:t xml:space="preserve">APPF Member Countries to introduce and strengthen diverse institutional mechanisms to promote political </w:t>
            </w:r>
            <w:r w:rsidRPr="005A6DEA">
              <w:lastRenderedPageBreak/>
              <w:t>participation, including in parliament, of women from diverse backgrounds, and consider providing financial support in this regard</w:t>
            </w:r>
            <w:r w:rsidR="003175CA">
              <w:t>;</w:t>
            </w:r>
          </w:p>
        </w:tc>
        <w:tc>
          <w:tcPr>
            <w:tcW w:w="3550" w:type="pct"/>
          </w:tcPr>
          <w:p w14:paraId="25914A11" w14:textId="1F25DECD" w:rsidR="003175CA" w:rsidRDefault="00C919C1" w:rsidP="100B9034">
            <w:pPr>
              <w:spacing w:before="120" w:after="120" w:line="276" w:lineRule="auto"/>
              <w:rPr>
                <w:rFonts w:eastAsia="Calibri" w:cs="Arial"/>
              </w:rPr>
            </w:pPr>
            <w:r>
              <w:rPr>
                <w:rFonts w:eastAsia="Calibri" w:cs="Arial"/>
              </w:rPr>
              <w:lastRenderedPageBreak/>
              <w:t>According to t</w:t>
            </w:r>
            <w:r w:rsidR="100B9034" w:rsidRPr="64D65C42">
              <w:rPr>
                <w:rFonts w:eastAsia="Calibri" w:cs="Arial"/>
              </w:rPr>
              <w:t xml:space="preserve">he </w:t>
            </w:r>
            <w:hyperlink r:id="rId25" w:history="1">
              <w:r w:rsidR="005539FF" w:rsidRPr="00642C0F">
                <w:rPr>
                  <w:rStyle w:val="Hyperlink"/>
                  <w:rFonts w:eastAsia="Calibri" w:cs="Arial"/>
                  <w:i/>
                  <w:iCs/>
                </w:rPr>
                <w:t>Women and Gen</w:t>
              </w:r>
              <w:r w:rsidR="005539FF" w:rsidRPr="00642C0F">
                <w:rPr>
                  <w:rStyle w:val="Hyperlink"/>
                  <w:rFonts w:eastAsia="Calibri" w:cs="Arial"/>
                  <w:i/>
                  <w:iCs/>
                </w:rPr>
                <w:t>d</w:t>
              </w:r>
              <w:r w:rsidR="005539FF" w:rsidRPr="00642C0F">
                <w:rPr>
                  <w:rStyle w:val="Hyperlink"/>
                  <w:rFonts w:eastAsia="Calibri" w:cs="Arial"/>
                  <w:i/>
                  <w:iCs/>
                </w:rPr>
                <w:t>er Equality Canada 2022–</w:t>
              </w:r>
              <w:r w:rsidR="007D6386" w:rsidRPr="00642C0F">
                <w:rPr>
                  <w:rStyle w:val="Hyperlink"/>
                  <w:rFonts w:eastAsia="Calibri" w:cs="Arial"/>
                  <w:i/>
                  <w:iCs/>
                </w:rPr>
                <w:t>20</w:t>
              </w:r>
              <w:r w:rsidR="005539FF" w:rsidRPr="00642C0F">
                <w:rPr>
                  <w:rStyle w:val="Hyperlink"/>
                  <w:rFonts w:eastAsia="Calibri" w:cs="Arial"/>
                  <w:i/>
                  <w:iCs/>
                </w:rPr>
                <w:t>23 Departmental Plan</w:t>
              </w:r>
            </w:hyperlink>
            <w:r w:rsidR="00642C0F">
              <w:rPr>
                <w:rFonts w:eastAsia="Calibri" w:cs="Arial"/>
              </w:rPr>
              <w:t xml:space="preserve">, </w:t>
            </w:r>
            <w:r>
              <w:rPr>
                <w:rFonts w:eastAsia="Calibri" w:cs="Arial"/>
              </w:rPr>
              <w:t xml:space="preserve">the </w:t>
            </w:r>
            <w:r w:rsidRPr="00A21125">
              <w:rPr>
                <w:rFonts w:eastAsia="Calibri" w:cs="Arial"/>
              </w:rPr>
              <w:t>Government</w:t>
            </w:r>
            <w:r w:rsidR="243F68B1" w:rsidRPr="00A21125">
              <w:rPr>
                <w:rFonts w:eastAsia="Calibri" w:cs="Arial"/>
              </w:rPr>
              <w:t xml:space="preserve"> </w:t>
            </w:r>
            <w:r w:rsidR="00D05E36">
              <w:rPr>
                <w:rFonts w:eastAsia="Calibri" w:cs="Arial"/>
              </w:rPr>
              <w:t xml:space="preserve">of Canada </w:t>
            </w:r>
            <w:r w:rsidR="243F68B1" w:rsidRPr="00A21125">
              <w:rPr>
                <w:rFonts w:eastAsia="Calibri" w:cs="Arial"/>
              </w:rPr>
              <w:t>will provide</w:t>
            </w:r>
            <w:r w:rsidR="243F68B1" w:rsidRPr="64D65C42">
              <w:rPr>
                <w:rFonts w:eastAsia="Calibri" w:cs="Arial"/>
              </w:rPr>
              <w:t xml:space="preserve"> funding to Indigenous organizations </w:t>
            </w:r>
            <w:r w:rsidR="00D05E36">
              <w:rPr>
                <w:rFonts w:eastAsia="Calibri" w:cs="Arial"/>
              </w:rPr>
              <w:t xml:space="preserve">both </w:t>
            </w:r>
            <w:r w:rsidR="243F68B1" w:rsidRPr="64D65C42">
              <w:rPr>
                <w:rFonts w:eastAsia="Calibri" w:cs="Arial"/>
              </w:rPr>
              <w:t xml:space="preserve">to support Indigenous women and </w:t>
            </w:r>
            <w:r w:rsidR="00D05E36">
              <w:rPr>
                <w:rFonts w:eastAsia="Calibri" w:cs="Arial"/>
              </w:rPr>
              <w:t xml:space="preserve">to </w:t>
            </w:r>
            <w:r w:rsidR="243F68B1" w:rsidRPr="64D65C42">
              <w:rPr>
                <w:rFonts w:eastAsia="Calibri" w:cs="Arial"/>
              </w:rPr>
              <w:t>increase their leadership and democratic participation in elected bodies</w:t>
            </w:r>
            <w:r>
              <w:rPr>
                <w:rFonts w:eastAsia="Calibri" w:cs="Arial"/>
              </w:rPr>
              <w:t>,</w:t>
            </w:r>
            <w:r w:rsidR="243F68B1" w:rsidRPr="64D65C42">
              <w:rPr>
                <w:rFonts w:eastAsia="Calibri" w:cs="Arial"/>
              </w:rPr>
              <w:t xml:space="preserve"> such as </w:t>
            </w:r>
            <w:r>
              <w:rPr>
                <w:rFonts w:eastAsia="Calibri" w:cs="Arial"/>
              </w:rPr>
              <w:t xml:space="preserve">the </w:t>
            </w:r>
            <w:r w:rsidR="243F68B1" w:rsidRPr="64D65C42">
              <w:rPr>
                <w:rFonts w:eastAsia="Calibri" w:cs="Arial"/>
              </w:rPr>
              <w:t>Parliament</w:t>
            </w:r>
            <w:r>
              <w:rPr>
                <w:rFonts w:eastAsia="Calibri" w:cs="Arial"/>
              </w:rPr>
              <w:t xml:space="preserve"> of Canada</w:t>
            </w:r>
            <w:r w:rsidR="243F68B1" w:rsidRPr="64D65C42">
              <w:rPr>
                <w:rFonts w:eastAsia="Calibri" w:cs="Arial"/>
              </w:rPr>
              <w:t xml:space="preserve">. The Plan </w:t>
            </w:r>
            <w:r w:rsidR="00642C0F">
              <w:rPr>
                <w:rFonts w:eastAsia="Calibri" w:cs="Arial"/>
              </w:rPr>
              <w:t>identifies</w:t>
            </w:r>
            <w:r w:rsidR="005539FF" w:rsidRPr="64D65C42">
              <w:rPr>
                <w:rFonts w:eastAsia="Calibri" w:cs="Arial"/>
              </w:rPr>
              <w:t xml:space="preserve"> </w:t>
            </w:r>
            <w:r w:rsidR="005539FF">
              <w:rPr>
                <w:rFonts w:eastAsia="Calibri" w:cs="Arial"/>
              </w:rPr>
              <w:t>more than</w:t>
            </w:r>
            <w:r w:rsidR="005539FF" w:rsidRPr="64D65C42">
              <w:rPr>
                <w:rFonts w:eastAsia="Calibri" w:cs="Arial"/>
              </w:rPr>
              <w:t xml:space="preserve"> $292 million in funding</w:t>
            </w:r>
            <w:r w:rsidR="007D6386">
              <w:rPr>
                <w:rFonts w:eastAsia="Calibri" w:cs="Arial"/>
              </w:rPr>
              <w:t xml:space="preserve"> for 2022</w:t>
            </w:r>
            <w:r w:rsidR="007D6386">
              <w:rPr>
                <w:rFonts w:eastAsia="Calibri" w:cs="Arial"/>
              </w:rPr>
              <w:softHyphen/>
            </w:r>
            <w:r w:rsidR="007D6386" w:rsidRPr="007D6386">
              <w:rPr>
                <w:rFonts w:eastAsia="Calibri" w:cs="Arial"/>
              </w:rPr>
              <w:t>–</w:t>
            </w:r>
            <w:r w:rsidR="007D6386">
              <w:rPr>
                <w:rFonts w:eastAsia="Calibri" w:cs="Arial"/>
              </w:rPr>
              <w:t xml:space="preserve">2023 </w:t>
            </w:r>
            <w:r w:rsidR="005539FF" w:rsidRPr="64D65C42">
              <w:rPr>
                <w:rFonts w:eastAsia="Calibri" w:cs="Arial"/>
              </w:rPr>
              <w:t xml:space="preserve">to </w:t>
            </w:r>
            <w:r w:rsidR="005539FF" w:rsidRPr="64D65C42">
              <w:rPr>
                <w:rFonts w:eastAsia="Calibri" w:cs="Arial"/>
              </w:rPr>
              <w:lastRenderedPageBreak/>
              <w:t>advance gender equality</w:t>
            </w:r>
            <w:r w:rsidR="005539FF">
              <w:rPr>
                <w:rFonts w:eastAsia="Calibri" w:cs="Arial"/>
              </w:rPr>
              <w:t>, including</w:t>
            </w:r>
            <w:r w:rsidR="243F68B1" w:rsidRPr="64D65C42">
              <w:rPr>
                <w:rFonts w:eastAsia="Calibri" w:cs="Arial"/>
              </w:rPr>
              <w:t xml:space="preserve"> </w:t>
            </w:r>
            <w:r w:rsidR="00D05E36">
              <w:rPr>
                <w:rFonts w:eastAsia="Calibri" w:cs="Arial"/>
              </w:rPr>
              <w:t xml:space="preserve">through </w:t>
            </w:r>
            <w:r w:rsidR="005539FF">
              <w:rPr>
                <w:rFonts w:eastAsia="Calibri" w:cs="Arial"/>
              </w:rPr>
              <w:t xml:space="preserve">the </w:t>
            </w:r>
            <w:r w:rsidR="243F68B1" w:rsidRPr="64D65C42">
              <w:rPr>
                <w:rFonts w:eastAsia="Calibri" w:cs="Arial"/>
              </w:rPr>
              <w:t>develop</w:t>
            </w:r>
            <w:r w:rsidR="005539FF">
              <w:rPr>
                <w:rFonts w:eastAsia="Calibri" w:cs="Arial"/>
              </w:rPr>
              <w:t>ment of</w:t>
            </w:r>
            <w:r w:rsidR="243F68B1" w:rsidRPr="64D65C42">
              <w:rPr>
                <w:rFonts w:eastAsia="Calibri" w:cs="Arial"/>
              </w:rPr>
              <w:t xml:space="preserve"> best practices for increasing representation and participation of Black and Indigenous women in </w:t>
            </w:r>
            <w:r w:rsidR="000D36FF">
              <w:rPr>
                <w:rFonts w:eastAsia="Calibri" w:cs="Arial"/>
              </w:rPr>
              <w:t xml:space="preserve">political </w:t>
            </w:r>
            <w:r w:rsidR="243F68B1" w:rsidRPr="64D65C42">
              <w:rPr>
                <w:rFonts w:eastAsia="Calibri" w:cs="Arial"/>
              </w:rPr>
              <w:t>leadership positions</w:t>
            </w:r>
            <w:r w:rsidR="005539FF">
              <w:rPr>
                <w:rFonts w:eastAsia="Calibri" w:cs="Arial"/>
              </w:rPr>
              <w:t>.</w:t>
            </w:r>
          </w:p>
        </w:tc>
      </w:tr>
      <w:tr w:rsidR="003175CA" w14:paraId="30E64FB7" w14:textId="77777777" w:rsidTr="37E1D18E">
        <w:tc>
          <w:tcPr>
            <w:tcW w:w="1450" w:type="pct"/>
            <w:shd w:val="clear" w:color="auto" w:fill="F2F2F2" w:themeFill="background1" w:themeFillShade="F2"/>
          </w:tcPr>
          <w:p w14:paraId="2BF572E2" w14:textId="7AD1312D" w:rsidR="003175CA" w:rsidRDefault="00C9252A" w:rsidP="00C9252A">
            <w:pPr>
              <w:pStyle w:val="Default"/>
              <w:numPr>
                <w:ilvl w:val="0"/>
                <w:numId w:val="2"/>
              </w:numPr>
              <w:spacing w:before="120" w:after="120"/>
              <w:rPr>
                <w:b/>
                <w:bCs/>
                <w:sz w:val="23"/>
                <w:szCs w:val="23"/>
              </w:rPr>
            </w:pPr>
            <w:r w:rsidRPr="00C9252A">
              <w:rPr>
                <w:b/>
                <w:bCs/>
              </w:rPr>
              <w:t xml:space="preserve">Recommend </w:t>
            </w:r>
            <w:r w:rsidRPr="00C9252A">
              <w:t>APPF Member Countries to guarantee equal rights and opportunities to work by building support and consensus among both men and women on the importance of work-life balance and creating a conducive environment for women’s participation in the workforce, including through the use of flexible work arrangements and a stronger social support system for care responsibilities</w:t>
            </w:r>
            <w:r w:rsidR="003175CA">
              <w:t>;</w:t>
            </w:r>
          </w:p>
        </w:tc>
        <w:tc>
          <w:tcPr>
            <w:tcW w:w="3550" w:type="pct"/>
          </w:tcPr>
          <w:p w14:paraId="407DD9F5" w14:textId="0AE1262F" w:rsidR="000F3F15" w:rsidRDefault="007D6386" w:rsidP="00E50BFA">
            <w:pPr>
              <w:spacing w:before="120" w:after="120"/>
            </w:pPr>
            <w:r>
              <w:t xml:space="preserve">On 1 September 2019, the </w:t>
            </w:r>
            <w:r>
              <w:rPr>
                <w:i/>
                <w:iCs/>
              </w:rPr>
              <w:t xml:space="preserve">Canada Labour Code </w:t>
            </w:r>
            <w:r>
              <w:t xml:space="preserve">was </w:t>
            </w:r>
            <w:hyperlink r:id="rId26" w:history="1">
              <w:r w:rsidRPr="007D6386">
                <w:rPr>
                  <w:rStyle w:val="Hyperlink"/>
                </w:rPr>
                <w:t>am</w:t>
              </w:r>
              <w:r w:rsidRPr="007D6386">
                <w:rPr>
                  <w:rStyle w:val="Hyperlink"/>
                </w:rPr>
                <w:t>e</w:t>
              </w:r>
              <w:r w:rsidRPr="007D6386">
                <w:rPr>
                  <w:rStyle w:val="Hyperlink"/>
                </w:rPr>
                <w:t>nded</w:t>
              </w:r>
            </w:hyperlink>
            <w:r>
              <w:t xml:space="preserve"> </w:t>
            </w:r>
            <w:r w:rsidR="64D65C42" w:rsidRPr="64D65C42">
              <w:t xml:space="preserve">in order to provide better work-life balance and strengthen workplace standards </w:t>
            </w:r>
            <w:r>
              <w:t xml:space="preserve">regarding leave </w:t>
            </w:r>
            <w:r w:rsidR="64D65C42" w:rsidRPr="64D65C42">
              <w:t xml:space="preserve">in federally regulated workplaces. </w:t>
            </w:r>
            <w:r w:rsidR="64D65C42" w:rsidRPr="00A21125">
              <w:t>These changes have</w:t>
            </w:r>
            <w:r w:rsidR="00D05E36">
              <w:t>:</w:t>
            </w:r>
            <w:r w:rsidR="64D65C42" w:rsidRPr="64D65C42">
              <w:t xml:space="preserve"> made it easier to take time off to care for a </w:t>
            </w:r>
            <w:r>
              <w:t>dependent</w:t>
            </w:r>
            <w:r w:rsidR="00D05E36">
              <w:t>;</w:t>
            </w:r>
            <w:r w:rsidR="64D65C42" w:rsidRPr="64D65C42">
              <w:t xml:space="preserve"> </w:t>
            </w:r>
            <w:r>
              <w:t>increased the availability of</w:t>
            </w:r>
            <w:r w:rsidR="64D65C42" w:rsidRPr="64D65C42">
              <w:t xml:space="preserve"> maternity and parental leave</w:t>
            </w:r>
            <w:r w:rsidR="00D05E36">
              <w:t>;</w:t>
            </w:r>
            <w:r w:rsidR="64D65C42" w:rsidRPr="64D65C42">
              <w:t xml:space="preserve"> and provided paid leave to workers </w:t>
            </w:r>
            <w:r>
              <w:t>experiencing</w:t>
            </w:r>
            <w:r w:rsidR="64D65C42" w:rsidRPr="64D65C42">
              <w:t xml:space="preserve"> family violence. </w:t>
            </w:r>
            <w:hyperlink r:id="rId27" w:history="1">
              <w:r w:rsidRPr="006E655A">
                <w:rPr>
                  <w:rStyle w:val="Hyperlink"/>
                </w:rPr>
                <w:t>According to the Govern</w:t>
              </w:r>
              <w:r w:rsidRPr="006E655A">
                <w:rPr>
                  <w:rStyle w:val="Hyperlink"/>
                </w:rPr>
                <w:t>m</w:t>
              </w:r>
              <w:r w:rsidRPr="006E655A">
                <w:rPr>
                  <w:rStyle w:val="Hyperlink"/>
                </w:rPr>
                <w:t>ent of Canada</w:t>
              </w:r>
            </w:hyperlink>
            <w:r>
              <w:t>, these amendments</w:t>
            </w:r>
            <w:r w:rsidR="64D65C42" w:rsidRPr="64D65C42">
              <w:t xml:space="preserve"> </w:t>
            </w:r>
            <w:r>
              <w:t xml:space="preserve">will </w:t>
            </w:r>
            <w:r w:rsidR="006E655A">
              <w:t>enable</w:t>
            </w:r>
            <w:r w:rsidR="006E655A" w:rsidRPr="64D65C42">
              <w:t xml:space="preserve"> </w:t>
            </w:r>
            <w:r w:rsidR="64D65C42" w:rsidRPr="64D65C42">
              <w:t xml:space="preserve">higher </w:t>
            </w:r>
            <w:r w:rsidR="00D05E36">
              <w:t xml:space="preserve">female </w:t>
            </w:r>
            <w:r w:rsidR="64D65C42" w:rsidRPr="64D65C42">
              <w:t>participation in the workforce, le</w:t>
            </w:r>
            <w:r>
              <w:t>a</w:t>
            </w:r>
            <w:r w:rsidR="64D65C42" w:rsidRPr="64D65C42">
              <w:t xml:space="preserve">d to </w:t>
            </w:r>
            <w:r w:rsidR="006E655A">
              <w:t>improved</w:t>
            </w:r>
            <w:r w:rsidR="006E655A" w:rsidRPr="64D65C42">
              <w:t xml:space="preserve"> </w:t>
            </w:r>
            <w:r w:rsidR="64D65C42" w:rsidRPr="64D65C42">
              <w:t xml:space="preserve">gender equality, and </w:t>
            </w:r>
            <w:r w:rsidR="006E655A">
              <w:t>enhance</w:t>
            </w:r>
            <w:r w:rsidR="006E655A" w:rsidRPr="64D65C42">
              <w:t xml:space="preserve"> </w:t>
            </w:r>
            <w:r w:rsidR="64D65C42" w:rsidRPr="64D65C42">
              <w:t xml:space="preserve">working conditions for vulnerable workers. </w:t>
            </w:r>
          </w:p>
          <w:p w14:paraId="02451FEC" w14:textId="2A99A7AE" w:rsidR="003175CA" w:rsidRDefault="00B81BBF" w:rsidP="00E50BFA">
            <w:pPr>
              <w:spacing w:before="120" w:after="120"/>
            </w:pPr>
            <w:r>
              <w:t xml:space="preserve">Concerning </w:t>
            </w:r>
            <w:r w:rsidR="000F3F15">
              <w:t>female employment</w:t>
            </w:r>
            <w:r>
              <w:t xml:space="preserve"> in </w:t>
            </w:r>
            <w:r w:rsidR="000F3F15">
              <w:t>Canada</w:t>
            </w:r>
            <w:r>
              <w:t>,</w:t>
            </w:r>
            <w:r w:rsidR="000F3F15">
              <w:t xml:space="preserve"> </w:t>
            </w:r>
            <w:r>
              <w:t>i</w:t>
            </w:r>
            <w:r w:rsidR="64D65C42" w:rsidRPr="64D65C42">
              <w:t xml:space="preserve">n February 2022, </w:t>
            </w:r>
            <w:r w:rsidRPr="64D65C42">
              <w:t>the share of women aged 25-54</w:t>
            </w:r>
            <w:r>
              <w:t xml:space="preserve"> years</w:t>
            </w:r>
            <w:r w:rsidRPr="64D65C42">
              <w:t xml:space="preserve"> with a job </w:t>
            </w:r>
            <w:r>
              <w:t>was 81%,</w:t>
            </w:r>
            <w:r w:rsidRPr="64D65C42">
              <w:t xml:space="preserve"> the highest </w:t>
            </w:r>
            <w:r>
              <w:t>proportion</w:t>
            </w:r>
            <w:r w:rsidRPr="64D65C42">
              <w:t xml:space="preserve"> ever recorded</w:t>
            </w:r>
            <w:r>
              <w:t xml:space="preserve">, and </w:t>
            </w:r>
            <w:r w:rsidR="007D6386">
              <w:t xml:space="preserve">the absolute number of women </w:t>
            </w:r>
            <w:hyperlink r:id="rId28">
              <w:r w:rsidR="64D65C42" w:rsidRPr="64D65C42">
                <w:rPr>
                  <w:rStyle w:val="Hyperlink"/>
                </w:rPr>
                <w:t>emplo</w:t>
              </w:r>
              <w:r w:rsidR="64D65C42" w:rsidRPr="64D65C42">
                <w:rPr>
                  <w:rStyle w:val="Hyperlink"/>
                </w:rPr>
                <w:t>y</w:t>
              </w:r>
              <w:r w:rsidR="00210AFD">
                <w:rPr>
                  <w:rStyle w:val="Hyperlink"/>
                </w:rPr>
                <w:t>ed</w:t>
              </w:r>
            </w:hyperlink>
            <w:r w:rsidR="64D65C42" w:rsidRPr="64D65C42">
              <w:t xml:space="preserve"> was 2% </w:t>
            </w:r>
            <w:r w:rsidR="0028186C">
              <w:t>higher than in</w:t>
            </w:r>
            <w:r w:rsidR="64D65C42" w:rsidRPr="64D65C42">
              <w:t xml:space="preserve"> February 2020</w:t>
            </w:r>
            <w:r>
              <w:t>. T</w:t>
            </w:r>
            <w:r w:rsidR="007D6386">
              <w:t>h</w:t>
            </w:r>
            <w:r w:rsidR="0090280A">
              <w:t>e number</w:t>
            </w:r>
            <w:r w:rsidR="007D6386">
              <w:t xml:space="preserve"> of men</w:t>
            </w:r>
            <w:r w:rsidR="64D65C42" w:rsidRPr="64D65C42">
              <w:t xml:space="preserve"> </w:t>
            </w:r>
            <w:r w:rsidR="0090280A">
              <w:t xml:space="preserve">employed </w:t>
            </w:r>
            <w:r>
              <w:t>rose</w:t>
            </w:r>
            <w:r w:rsidR="64D65C42" w:rsidRPr="64D65C42">
              <w:t xml:space="preserve"> </w:t>
            </w:r>
            <w:r>
              <w:t xml:space="preserve">by </w:t>
            </w:r>
            <w:r w:rsidR="64D65C42" w:rsidRPr="64D65C42">
              <w:t xml:space="preserve">1.9% </w:t>
            </w:r>
            <w:r>
              <w:t>from February 2020 to February 2022, and bo</w:t>
            </w:r>
            <w:r w:rsidR="00184B72">
              <w:t>th the female and male employment growth rates</w:t>
            </w:r>
            <w:r w:rsidR="0090280A">
              <w:t xml:space="preserve"> exceed</w:t>
            </w:r>
            <w:r>
              <w:t>ed</w:t>
            </w:r>
            <w:r w:rsidR="00210AFD">
              <w:t xml:space="preserve"> the rate of population growth </w:t>
            </w:r>
            <w:r w:rsidR="00184B72">
              <w:t>over the period</w:t>
            </w:r>
            <w:r w:rsidR="64D65C42" w:rsidRPr="64D65C42">
              <w:t xml:space="preserve">. </w:t>
            </w:r>
          </w:p>
        </w:tc>
      </w:tr>
      <w:tr w:rsidR="003175CA" w14:paraId="6A88BCC9" w14:textId="77777777" w:rsidTr="37E1D18E">
        <w:tc>
          <w:tcPr>
            <w:tcW w:w="1450" w:type="pct"/>
            <w:shd w:val="clear" w:color="auto" w:fill="F2F2F2" w:themeFill="background1" w:themeFillShade="F2"/>
          </w:tcPr>
          <w:p w14:paraId="0E8CF50E" w14:textId="6A8B4D8F" w:rsidR="003175CA" w:rsidRDefault="00832B13" w:rsidP="00C9252A">
            <w:pPr>
              <w:pStyle w:val="Default"/>
              <w:numPr>
                <w:ilvl w:val="0"/>
                <w:numId w:val="2"/>
              </w:numPr>
              <w:spacing w:before="120" w:after="120"/>
              <w:rPr>
                <w:b/>
                <w:bCs/>
                <w:sz w:val="23"/>
                <w:szCs w:val="23"/>
              </w:rPr>
            </w:pPr>
            <w:r w:rsidRPr="00832B13">
              <w:rPr>
                <w:b/>
                <w:bCs/>
              </w:rPr>
              <w:t xml:space="preserve">Reiterate </w:t>
            </w:r>
            <w:r w:rsidRPr="00832B13">
              <w:t xml:space="preserve">the call on APPF Member Countries to guarantee women’s access to equal and quality education from primary to tertiary levels and opportunities to enjoy its benefits, and also to enhance education and training and provide information and financial </w:t>
            </w:r>
            <w:r w:rsidRPr="00832B13">
              <w:lastRenderedPageBreak/>
              <w:t>support for women in STEM (Science, Technology, Engineering and Math) where women are particularly underrepresented;</w:t>
            </w:r>
          </w:p>
        </w:tc>
        <w:tc>
          <w:tcPr>
            <w:tcW w:w="3550" w:type="pct"/>
          </w:tcPr>
          <w:p w14:paraId="341F4869" w14:textId="5F8FCDF2" w:rsidR="00A11866" w:rsidRDefault="64D65C42" w:rsidP="00E50BFA">
            <w:pPr>
              <w:spacing w:before="120" w:after="120"/>
            </w:pPr>
            <w:r>
              <w:lastRenderedPageBreak/>
              <w:t xml:space="preserve">The Government of Canada has funded numerous initiatives </w:t>
            </w:r>
            <w:r w:rsidR="00831E4D">
              <w:t xml:space="preserve">designed </w:t>
            </w:r>
            <w:r>
              <w:t xml:space="preserve">to encourage women’s participation in </w:t>
            </w:r>
            <w:r w:rsidR="0028186C">
              <w:t>science, technology, engineering and mathematics (</w:t>
            </w:r>
            <w:r>
              <w:t>STEM</w:t>
            </w:r>
            <w:r w:rsidR="0028186C">
              <w:t>)</w:t>
            </w:r>
            <w:r>
              <w:t>.</w:t>
            </w:r>
            <w:r w:rsidR="0028186C">
              <w:t xml:space="preserve"> For example,</w:t>
            </w:r>
            <w:r>
              <w:t xml:space="preserve"> the </w:t>
            </w:r>
            <w:hyperlink r:id="rId29">
              <w:r w:rsidRPr="64D65C42">
                <w:rPr>
                  <w:rStyle w:val="Hyperlink"/>
                </w:rPr>
                <w:t>Let’</w:t>
              </w:r>
              <w:r w:rsidRPr="64D65C42">
                <w:rPr>
                  <w:rStyle w:val="Hyperlink"/>
                </w:rPr>
                <w:t>s</w:t>
              </w:r>
              <w:r w:rsidRPr="64D65C42">
                <w:rPr>
                  <w:rStyle w:val="Hyperlink"/>
                </w:rPr>
                <w:t xml:space="preserve"> Talk Science</w:t>
              </w:r>
            </w:hyperlink>
            <w:r>
              <w:t xml:space="preserve"> initiative </w:t>
            </w:r>
            <w:r w:rsidR="006E655A">
              <w:t>facilitates</w:t>
            </w:r>
            <w:r>
              <w:t xml:space="preserve"> youth </w:t>
            </w:r>
            <w:r w:rsidR="00D05E36">
              <w:t>participat</w:t>
            </w:r>
            <w:r w:rsidR="00902E12">
              <w:t xml:space="preserve">ion </w:t>
            </w:r>
            <w:r>
              <w:t xml:space="preserve">in hands-on STEM activities and learning programs, such as science experiments, </w:t>
            </w:r>
            <w:r w:rsidR="0028186C">
              <w:t xml:space="preserve">which </w:t>
            </w:r>
            <w:r>
              <w:t>help</w:t>
            </w:r>
            <w:r w:rsidR="0028186C">
              <w:t xml:space="preserve"> to</w:t>
            </w:r>
            <w:r w:rsidR="00210AFD">
              <w:t xml:space="preserve"> </w:t>
            </w:r>
            <w:r>
              <w:t xml:space="preserve">develop critical thinking skills and </w:t>
            </w:r>
            <w:r w:rsidR="00210AFD">
              <w:t>create more opportunities</w:t>
            </w:r>
            <w:r>
              <w:t xml:space="preserve"> </w:t>
            </w:r>
            <w:r w:rsidR="00210AFD">
              <w:t>for</w:t>
            </w:r>
            <w:r>
              <w:t xml:space="preserve"> future study and work in these fields. </w:t>
            </w:r>
            <w:r w:rsidR="00210AFD">
              <w:t>The initiative</w:t>
            </w:r>
            <w:r>
              <w:t xml:space="preserve"> also helps </w:t>
            </w:r>
            <w:r w:rsidR="00A6336B">
              <w:t xml:space="preserve">to </w:t>
            </w:r>
            <w:r>
              <w:t xml:space="preserve">ensure </w:t>
            </w:r>
            <w:r w:rsidR="00A6336B">
              <w:t xml:space="preserve">that </w:t>
            </w:r>
            <w:r>
              <w:t>more girls</w:t>
            </w:r>
            <w:r w:rsidR="00A6336B">
              <w:t xml:space="preserve"> </w:t>
            </w:r>
            <w:r>
              <w:t>and other groups that are underrepresented in STEM</w:t>
            </w:r>
            <w:r w:rsidR="00A6336B">
              <w:t xml:space="preserve"> </w:t>
            </w:r>
            <w:r w:rsidR="00A11866">
              <w:t xml:space="preserve">develop </w:t>
            </w:r>
            <w:r>
              <w:t xml:space="preserve">and maintain </w:t>
            </w:r>
            <w:r w:rsidR="00184B72">
              <w:t xml:space="preserve">an </w:t>
            </w:r>
            <w:r>
              <w:t xml:space="preserve">interest in STEM from an early age. </w:t>
            </w:r>
          </w:p>
          <w:p w14:paraId="50A1CED6" w14:textId="0D195099" w:rsidR="003175CA" w:rsidRDefault="64D65C42" w:rsidP="00E50BFA">
            <w:pPr>
              <w:spacing w:before="120" w:after="120"/>
            </w:pPr>
            <w:r>
              <w:t>Although women’s participation in STEM education</w:t>
            </w:r>
            <w:r w:rsidR="004138B3">
              <w:t xml:space="preserve"> overall</w:t>
            </w:r>
            <w:r>
              <w:t xml:space="preserve"> </w:t>
            </w:r>
            <w:r w:rsidR="00DE7F76">
              <w:t>is</w:t>
            </w:r>
            <w:r>
              <w:t xml:space="preserve"> below that of men in Canada, younger women </w:t>
            </w:r>
            <w:r w:rsidR="00210AFD">
              <w:t xml:space="preserve">are </w:t>
            </w:r>
            <w:r>
              <w:t>more likely than their older counterparts to have a post</w:t>
            </w:r>
            <w:r w:rsidR="00DE7F76">
              <w:t>-</w:t>
            </w:r>
            <w:r>
              <w:t xml:space="preserve">secondary qualification at the bachelor level or above in </w:t>
            </w:r>
            <w:r w:rsidR="00902E12">
              <w:t xml:space="preserve">a </w:t>
            </w:r>
            <w:r>
              <w:t>STEM</w:t>
            </w:r>
            <w:r w:rsidR="00902E12">
              <w:t xml:space="preserve"> field</w:t>
            </w:r>
            <w:r w:rsidR="00210AFD">
              <w:t xml:space="preserve">. </w:t>
            </w:r>
            <w:r w:rsidR="00902E12">
              <w:t xml:space="preserve">In </w:t>
            </w:r>
            <w:r w:rsidR="006E655A">
              <w:t>2021</w:t>
            </w:r>
            <w:r w:rsidR="00902E12">
              <w:t>, a</w:t>
            </w:r>
            <w:r>
              <w:t xml:space="preserve">mong those with </w:t>
            </w:r>
            <w:r w:rsidR="00184B72">
              <w:t xml:space="preserve">such </w:t>
            </w:r>
            <w:r>
              <w:t xml:space="preserve">a qualification, women </w:t>
            </w:r>
            <w:hyperlink r:id="rId30">
              <w:r w:rsidRPr="64D65C42">
                <w:rPr>
                  <w:rStyle w:val="Hyperlink"/>
                </w:rPr>
                <w:t>accou</w:t>
              </w:r>
              <w:r w:rsidRPr="64D65C42">
                <w:rPr>
                  <w:rStyle w:val="Hyperlink"/>
                </w:rPr>
                <w:t>n</w:t>
              </w:r>
              <w:r w:rsidRPr="64D65C42">
                <w:rPr>
                  <w:rStyle w:val="Hyperlink"/>
                </w:rPr>
                <w:t>ted</w:t>
              </w:r>
            </w:hyperlink>
            <w:r>
              <w:t xml:space="preserve"> for </w:t>
            </w:r>
            <w:r w:rsidR="00210AFD">
              <w:t>3</w:t>
            </w:r>
            <w:r>
              <w:t>9% of those aged 25 to 34 years with a STEM degree</w:t>
            </w:r>
            <w:r w:rsidR="00902E12">
              <w:t>;</w:t>
            </w:r>
            <w:r>
              <w:t xml:space="preserve"> they represented 26.8% of those aged 55 to 64 years with </w:t>
            </w:r>
            <w:r w:rsidR="00902E12">
              <w:t xml:space="preserve">such </w:t>
            </w:r>
            <w:r>
              <w:t>a degree</w:t>
            </w:r>
            <w:r w:rsidR="00210AFD">
              <w:t xml:space="preserve">. This </w:t>
            </w:r>
            <w:r w:rsidR="003B7BA5">
              <w:t xml:space="preserve">generational difference suggests </w:t>
            </w:r>
            <w:r w:rsidR="00210AFD">
              <w:t>that women’s overall participation in STEM</w:t>
            </w:r>
            <w:r w:rsidR="004138B3">
              <w:t xml:space="preserve"> careers</w:t>
            </w:r>
            <w:r w:rsidR="00210AFD">
              <w:t xml:space="preserve"> </w:t>
            </w:r>
            <w:r w:rsidR="003B7BA5">
              <w:t xml:space="preserve">may </w:t>
            </w:r>
            <w:r w:rsidR="00210AFD">
              <w:t xml:space="preserve">increase in the future as the younger cohort joins the workforce. </w:t>
            </w:r>
          </w:p>
        </w:tc>
      </w:tr>
      <w:tr w:rsidR="003175CA" w14:paraId="78D05E88" w14:textId="77777777" w:rsidTr="37E1D18E">
        <w:tc>
          <w:tcPr>
            <w:tcW w:w="1450" w:type="pct"/>
            <w:shd w:val="clear" w:color="auto" w:fill="F2F2F2" w:themeFill="background1" w:themeFillShade="F2"/>
          </w:tcPr>
          <w:p w14:paraId="1ABF4B15" w14:textId="637C8EBE" w:rsidR="003175CA" w:rsidRPr="009F14B4" w:rsidRDefault="00832B13" w:rsidP="00C9252A">
            <w:pPr>
              <w:pStyle w:val="ListParagraph"/>
              <w:numPr>
                <w:ilvl w:val="0"/>
                <w:numId w:val="2"/>
              </w:numPr>
              <w:rPr>
                <w:rFonts w:ascii="Cambria" w:hAnsi="Cambria" w:cs="Cambria"/>
                <w:b/>
                <w:bCs/>
                <w:color w:val="000000"/>
                <w:sz w:val="23"/>
                <w:szCs w:val="23"/>
              </w:rPr>
            </w:pPr>
            <w:r w:rsidRPr="76932703">
              <w:rPr>
                <w:rFonts w:ascii="Cambria" w:hAnsi="Cambria" w:cs="Cambria"/>
                <w:b/>
                <w:color w:val="000000" w:themeColor="text1"/>
                <w:sz w:val="24"/>
                <w:szCs w:val="24"/>
              </w:rPr>
              <w:lastRenderedPageBreak/>
              <w:t xml:space="preserve">Encourage </w:t>
            </w:r>
            <w:r w:rsidRPr="76932703">
              <w:rPr>
                <w:rFonts w:ascii="Cambria" w:hAnsi="Cambria" w:cs="Cambria"/>
                <w:color w:val="000000" w:themeColor="text1"/>
                <w:sz w:val="24"/>
                <w:szCs w:val="24"/>
              </w:rPr>
              <w:t>APPF Member Countries to organize mentoring activities between women politicians and girls, to nurture confidence and offer guidance, fostering future female leaders with capacity and inspiration</w:t>
            </w:r>
            <w:r w:rsidR="003175CA" w:rsidRPr="76932703">
              <w:rPr>
                <w:rFonts w:ascii="Cambria" w:hAnsi="Cambria" w:cs="Cambria"/>
                <w:color w:val="000000" w:themeColor="text1"/>
                <w:sz w:val="24"/>
                <w:szCs w:val="24"/>
              </w:rPr>
              <w:t>;</w:t>
            </w:r>
          </w:p>
        </w:tc>
        <w:tc>
          <w:tcPr>
            <w:tcW w:w="3550" w:type="pct"/>
          </w:tcPr>
          <w:p w14:paraId="37B012DC" w14:textId="07E93530" w:rsidR="003175CA" w:rsidRDefault="00A6336B" w:rsidP="00E50BFA">
            <w:pPr>
              <w:spacing w:before="120" w:after="120"/>
            </w:pPr>
            <w:r>
              <w:t>In April 2019, t</w:t>
            </w:r>
            <w:r w:rsidR="37E1D18E">
              <w:t xml:space="preserve">he House of Commons Standing Committee on the Status of Women released a </w:t>
            </w:r>
            <w:hyperlink r:id="rId31">
              <w:r w:rsidR="37E1D18E" w:rsidRPr="37E1D18E">
                <w:rPr>
                  <w:rStyle w:val="Hyperlink"/>
                </w:rPr>
                <w:t>rep</w:t>
              </w:r>
              <w:r w:rsidR="37E1D18E" w:rsidRPr="37E1D18E">
                <w:rPr>
                  <w:rStyle w:val="Hyperlink"/>
                </w:rPr>
                <w:t>o</w:t>
              </w:r>
              <w:r w:rsidR="37E1D18E" w:rsidRPr="37E1D18E">
                <w:rPr>
                  <w:rStyle w:val="Hyperlink"/>
                </w:rPr>
                <w:t>rt</w:t>
              </w:r>
            </w:hyperlink>
            <w:r w:rsidR="37E1D18E">
              <w:t xml:space="preserve"> </w:t>
            </w:r>
            <w:r>
              <w:t>that</w:t>
            </w:r>
            <w:r w:rsidR="37E1D18E">
              <w:t xml:space="preserve"> </w:t>
            </w:r>
            <w:r>
              <w:t>contains</w:t>
            </w:r>
            <w:r w:rsidR="37E1D18E">
              <w:t xml:space="preserve"> recommendations </w:t>
            </w:r>
            <w:r>
              <w:t>aimed at</w:t>
            </w:r>
            <w:r w:rsidR="37E1D18E">
              <w:t xml:space="preserve"> </w:t>
            </w:r>
            <w:r w:rsidR="005C7358">
              <w:t xml:space="preserve">increasing </w:t>
            </w:r>
            <w:r w:rsidR="37E1D18E">
              <w:t xml:space="preserve">the representation of women in Canadian politics. It suggested that the Government of Canada </w:t>
            </w:r>
            <w:r>
              <w:t xml:space="preserve">should </w:t>
            </w:r>
            <w:r w:rsidR="00C70A85">
              <w:t xml:space="preserve">allocate more </w:t>
            </w:r>
            <w:r w:rsidR="37E1D18E">
              <w:t xml:space="preserve">funding for organizations and projects that provide mentorship, networking opportunities and guidance to women in order to </w:t>
            </w:r>
            <w:r w:rsidR="37E1D18E" w:rsidRPr="00DE7F76">
              <w:t>increase</w:t>
            </w:r>
            <w:r w:rsidR="37E1D18E">
              <w:t xml:space="preserve"> their confidence and willingness </w:t>
            </w:r>
            <w:r>
              <w:t xml:space="preserve">both </w:t>
            </w:r>
            <w:r w:rsidR="37E1D18E">
              <w:t>to take risks and to seek elected office.</w:t>
            </w:r>
            <w:r w:rsidR="00902E12">
              <w:t xml:space="preserve"> For example,</w:t>
            </w:r>
            <w:r w:rsidR="37E1D18E">
              <w:t xml:space="preserve"> </w:t>
            </w:r>
            <w:hyperlink r:id="rId32">
              <w:r w:rsidR="37E1D18E" w:rsidRPr="37E1D18E">
                <w:rPr>
                  <w:rStyle w:val="Hyperlink"/>
                </w:rPr>
                <w:t>Women in P</w:t>
              </w:r>
              <w:r w:rsidR="37E1D18E" w:rsidRPr="37E1D18E">
                <w:rPr>
                  <w:rStyle w:val="Hyperlink"/>
                </w:rPr>
                <w:t>o</w:t>
              </w:r>
              <w:r w:rsidR="37E1D18E" w:rsidRPr="37E1D18E">
                <w:rPr>
                  <w:rStyle w:val="Hyperlink"/>
                </w:rPr>
                <w:t>litics</w:t>
              </w:r>
            </w:hyperlink>
            <w:r w:rsidR="37E1D18E">
              <w:t xml:space="preserve"> receiv</w:t>
            </w:r>
            <w:r>
              <w:t xml:space="preserve">es </w:t>
            </w:r>
            <w:r w:rsidR="00902E12">
              <w:t>federal</w:t>
            </w:r>
            <w:r>
              <w:t xml:space="preserve"> </w:t>
            </w:r>
            <w:r w:rsidR="37E1D18E">
              <w:t xml:space="preserve">funding </w:t>
            </w:r>
            <w:r>
              <w:t>to</w:t>
            </w:r>
            <w:r w:rsidR="37E1D18E">
              <w:t xml:space="preserve"> provide mentorship opportunities for women with the goal of having them equally represented </w:t>
            </w:r>
            <w:r w:rsidR="00B14B63">
              <w:t>at</w:t>
            </w:r>
            <w:r w:rsidR="37E1D18E">
              <w:t xml:space="preserve"> all levels of government </w:t>
            </w:r>
            <w:r>
              <w:t>in Canada</w:t>
            </w:r>
            <w:r w:rsidR="00902E12">
              <w:t>, as well as</w:t>
            </w:r>
            <w:r w:rsidR="00054585">
              <w:t xml:space="preserve"> </w:t>
            </w:r>
            <w:r w:rsidR="00B14B63">
              <w:t xml:space="preserve">on </w:t>
            </w:r>
            <w:r w:rsidR="00054585">
              <w:t xml:space="preserve">the boards of directors of Canadian firms and </w:t>
            </w:r>
            <w:r w:rsidR="003B7BA5">
              <w:t xml:space="preserve">non-governmental </w:t>
            </w:r>
            <w:r w:rsidR="00054585">
              <w:t>organizations</w:t>
            </w:r>
            <w:r w:rsidR="37E1D18E">
              <w:t>.</w:t>
            </w:r>
          </w:p>
        </w:tc>
      </w:tr>
      <w:tr w:rsidR="003175CA" w14:paraId="39B2D5DB" w14:textId="77777777" w:rsidTr="37E1D18E">
        <w:tc>
          <w:tcPr>
            <w:tcW w:w="1450" w:type="pct"/>
            <w:shd w:val="clear" w:color="auto" w:fill="F2F2F2" w:themeFill="background1" w:themeFillShade="F2"/>
          </w:tcPr>
          <w:p w14:paraId="6CC774B9" w14:textId="5BE442C3" w:rsidR="003175CA" w:rsidRDefault="00832B13" w:rsidP="00C9252A">
            <w:pPr>
              <w:pStyle w:val="Default"/>
              <w:numPr>
                <w:ilvl w:val="0"/>
                <w:numId w:val="2"/>
              </w:numPr>
              <w:spacing w:before="120" w:after="120"/>
              <w:rPr>
                <w:b/>
                <w:bCs/>
                <w:sz w:val="23"/>
                <w:szCs w:val="23"/>
              </w:rPr>
            </w:pPr>
            <w:r w:rsidRPr="00832B13">
              <w:rPr>
                <w:b/>
                <w:bCs/>
              </w:rPr>
              <w:t xml:space="preserve">Encourage </w:t>
            </w:r>
            <w:r w:rsidRPr="00832B13">
              <w:t>APPF Member Countries to increase women’s access to digital information and resources through digital literacy training and expand opportunities for women to participate in the workforce and decision-making processes;</w:t>
            </w:r>
          </w:p>
        </w:tc>
        <w:tc>
          <w:tcPr>
            <w:tcW w:w="3550" w:type="pct"/>
          </w:tcPr>
          <w:p w14:paraId="3AD5DE02" w14:textId="7CCA19AA" w:rsidR="003175CA" w:rsidRDefault="37E1D18E" w:rsidP="00E50BFA">
            <w:pPr>
              <w:spacing w:before="120" w:after="120"/>
            </w:pPr>
            <w:r>
              <w:t xml:space="preserve">On 28 July 2022, the Government of Canada </w:t>
            </w:r>
            <w:hyperlink r:id="rId33">
              <w:r w:rsidRPr="37E1D18E">
                <w:rPr>
                  <w:rStyle w:val="Hyperlink"/>
                </w:rPr>
                <w:t>announ</w:t>
              </w:r>
              <w:r w:rsidRPr="37E1D18E">
                <w:rPr>
                  <w:rStyle w:val="Hyperlink"/>
                </w:rPr>
                <w:t>c</w:t>
              </w:r>
              <w:r w:rsidRPr="37E1D18E">
                <w:rPr>
                  <w:rStyle w:val="Hyperlink"/>
                </w:rPr>
                <w:t>ed</w:t>
              </w:r>
            </w:hyperlink>
            <w:r>
              <w:t xml:space="preserve"> </w:t>
            </w:r>
            <w:r w:rsidR="00A6336B">
              <w:t>funding of</w:t>
            </w:r>
            <w:r>
              <w:t xml:space="preserve"> $17.6 million to support initiatives aimed at teaching digital literacy skills to under-represented Canadians, including women and girls. Th</w:t>
            </w:r>
            <w:r w:rsidR="00836D68">
              <w:t>ese funds</w:t>
            </w:r>
            <w:r>
              <w:t xml:space="preserve"> will support not-for-profit organizations that teach digital literacy skills to Canadians who face barriers to participating </w:t>
            </w:r>
            <w:r w:rsidR="00C248EC">
              <w:t>in digital activities</w:t>
            </w:r>
            <w:r>
              <w:t xml:space="preserve">. This </w:t>
            </w:r>
            <w:r w:rsidR="00836D68">
              <w:t>spending</w:t>
            </w:r>
            <w:r>
              <w:t xml:space="preserve"> is part of the </w:t>
            </w:r>
            <w:hyperlink r:id="rId34">
              <w:r w:rsidRPr="37E1D18E">
                <w:rPr>
                  <w:rStyle w:val="Hyperlink"/>
                </w:rPr>
                <w:t>Dig</w:t>
              </w:r>
              <w:r w:rsidRPr="37E1D18E">
                <w:rPr>
                  <w:rStyle w:val="Hyperlink"/>
                </w:rPr>
                <w:t>i</w:t>
              </w:r>
              <w:r w:rsidRPr="37E1D18E">
                <w:rPr>
                  <w:rStyle w:val="Hyperlink"/>
                </w:rPr>
                <w:t>tal Literacy Exchange Program</w:t>
              </w:r>
            </w:hyperlink>
            <w:r>
              <w:t xml:space="preserve">, </w:t>
            </w:r>
            <w:r w:rsidR="003B7BA5">
              <w:t xml:space="preserve">which </w:t>
            </w:r>
            <w:r w:rsidR="003B7BA5" w:rsidRPr="003B7BA5">
              <w:t xml:space="preserve">aims to </w:t>
            </w:r>
            <w:r w:rsidR="007D15F5">
              <w:t>ensure that</w:t>
            </w:r>
            <w:r w:rsidR="003B7BA5" w:rsidRPr="003B7BA5">
              <w:t xml:space="preserve"> Canadians </w:t>
            </w:r>
            <w:r w:rsidR="007D15F5">
              <w:t>have the skilled needed</w:t>
            </w:r>
            <w:r w:rsidR="003B7BA5" w:rsidRPr="003B7BA5">
              <w:t xml:space="preserve"> to use computers, mobile devices and the Internet safely, securely and effectively.</w:t>
            </w:r>
          </w:p>
        </w:tc>
      </w:tr>
      <w:tr w:rsidR="003175CA" w14:paraId="26F65B94" w14:textId="77777777" w:rsidTr="37E1D18E">
        <w:tc>
          <w:tcPr>
            <w:tcW w:w="1450" w:type="pct"/>
            <w:shd w:val="clear" w:color="auto" w:fill="F2F2F2" w:themeFill="background1" w:themeFillShade="F2"/>
          </w:tcPr>
          <w:p w14:paraId="1CC31850" w14:textId="63ADF3A9" w:rsidR="003175CA" w:rsidRDefault="003175CA" w:rsidP="00C9252A">
            <w:pPr>
              <w:pStyle w:val="Default"/>
              <w:numPr>
                <w:ilvl w:val="0"/>
                <w:numId w:val="2"/>
              </w:numPr>
              <w:spacing w:before="120" w:after="120"/>
              <w:rPr>
                <w:b/>
                <w:bCs/>
                <w:sz w:val="23"/>
                <w:szCs w:val="23"/>
              </w:rPr>
            </w:pPr>
            <w:r>
              <w:rPr>
                <w:b/>
                <w:bCs/>
                <w:sz w:val="23"/>
                <w:szCs w:val="23"/>
              </w:rPr>
              <w:t xml:space="preserve"> </w:t>
            </w:r>
            <w:r w:rsidR="00B20438" w:rsidRPr="00B20438">
              <w:rPr>
                <w:b/>
                <w:bCs/>
              </w:rPr>
              <w:t xml:space="preserve">Encourage </w:t>
            </w:r>
            <w:r w:rsidR="00B20438" w:rsidRPr="00B20438">
              <w:t xml:space="preserve">APPF Member Countries to promote the implementation of UN Security Council resolutions on women, peace and security, and adopt, implement, and monitor National Action Plans on Women, Peace </w:t>
            </w:r>
            <w:r w:rsidR="00B20438" w:rsidRPr="00B20438">
              <w:lastRenderedPageBreak/>
              <w:t>and Security, to increase the empowerment and engagement of women in line with international commitments, with due consideration of different national contexts and specific needs;</w:t>
            </w:r>
          </w:p>
        </w:tc>
        <w:tc>
          <w:tcPr>
            <w:tcW w:w="3550" w:type="pct"/>
          </w:tcPr>
          <w:p w14:paraId="0388822B" w14:textId="1F35A8D1" w:rsidR="003175CA" w:rsidRDefault="37E1D18E" w:rsidP="37E1D18E">
            <w:pPr>
              <w:spacing w:before="120" w:after="120"/>
            </w:pPr>
            <w:r>
              <w:lastRenderedPageBreak/>
              <w:t xml:space="preserve">On </w:t>
            </w:r>
            <w:r w:rsidR="00831E4D">
              <w:t xml:space="preserve">1 </w:t>
            </w:r>
            <w:r>
              <w:t xml:space="preserve">November 2017, the Government of Canada launched </w:t>
            </w:r>
            <w:r w:rsidR="00CB4BD1">
              <w:t>its</w:t>
            </w:r>
            <w:r w:rsidR="00CB4BD1" w:rsidRPr="00CB4BD1">
              <w:t xml:space="preserve"> </w:t>
            </w:r>
            <w:hyperlink r:id="rId35" w:history="1">
              <w:r w:rsidR="00CB4BD1" w:rsidRPr="00CB4BD1">
                <w:rPr>
                  <w:rStyle w:val="Hyperlink"/>
                </w:rPr>
                <w:t xml:space="preserve">Action Plan </w:t>
              </w:r>
              <w:r w:rsidR="00CB4BD1" w:rsidRPr="00CB4BD1">
                <w:rPr>
                  <w:rStyle w:val="Hyperlink"/>
                </w:rPr>
                <w:t>f</w:t>
              </w:r>
              <w:r w:rsidR="00CB4BD1" w:rsidRPr="00CB4BD1">
                <w:rPr>
                  <w:rStyle w:val="Hyperlink"/>
                </w:rPr>
                <w:t>or the Implementation of United Nations Security Council Resolutions on Women, Peace and Security - 2017-2022</w:t>
              </w:r>
            </w:hyperlink>
            <w:r w:rsidR="004974C0">
              <w:t>; i</w:t>
            </w:r>
            <w:r>
              <w:t xml:space="preserve">t is </w:t>
            </w:r>
            <w:r w:rsidR="004974C0">
              <w:t xml:space="preserve">the </w:t>
            </w:r>
            <w:r>
              <w:t xml:space="preserve">second </w:t>
            </w:r>
            <w:r w:rsidR="004974C0">
              <w:t>such</w:t>
            </w:r>
            <w:r>
              <w:t xml:space="preserve"> plan. The </w:t>
            </w:r>
            <w:r w:rsidR="003B7BA5">
              <w:t>A</w:t>
            </w:r>
            <w:r w:rsidR="004138B3">
              <w:t xml:space="preserve">ction </w:t>
            </w:r>
            <w:r w:rsidR="003B7BA5">
              <w:t>P</w:t>
            </w:r>
            <w:r>
              <w:t>lan provides a framework for a cohesive</w:t>
            </w:r>
            <w:r w:rsidR="004974C0">
              <w:t>,</w:t>
            </w:r>
            <w:r>
              <w:t xml:space="preserve"> whole-of-government approach to implement</w:t>
            </w:r>
            <w:r w:rsidR="004974C0">
              <w:t xml:space="preserve">ing the United Nation’s Women, Peace and Security </w:t>
            </w:r>
            <w:r w:rsidR="00902E12">
              <w:t>A</w:t>
            </w:r>
            <w:r>
              <w:t>genda</w:t>
            </w:r>
            <w:r w:rsidR="004974C0">
              <w:t>,</w:t>
            </w:r>
            <w:r>
              <w:t xml:space="preserve"> and ensures that Canada’s activities in fragile and conflict-affected states align with </w:t>
            </w:r>
            <w:r w:rsidR="004974C0">
              <w:t>the country’s</w:t>
            </w:r>
            <w:r>
              <w:t xml:space="preserve"> broader commitments</w:t>
            </w:r>
            <w:r w:rsidR="004974C0">
              <w:t>,</w:t>
            </w:r>
            <w:r>
              <w:t xml:space="preserve"> such as gender equality</w:t>
            </w:r>
            <w:r w:rsidR="004974C0">
              <w:t>,</w:t>
            </w:r>
            <w:r>
              <w:t xml:space="preserve"> </w:t>
            </w:r>
            <w:r w:rsidR="004974C0">
              <w:t xml:space="preserve">the </w:t>
            </w:r>
            <w:r>
              <w:t>empowerment of women and girls</w:t>
            </w:r>
            <w:r w:rsidR="004974C0">
              <w:t>,</w:t>
            </w:r>
            <w:r>
              <w:t xml:space="preserve"> respect for women’s and girls’ human rights</w:t>
            </w:r>
            <w:r w:rsidR="004974C0">
              <w:t>,</w:t>
            </w:r>
            <w:r>
              <w:t xml:space="preserve"> and inclusion and respect for diversity. As part of the </w:t>
            </w:r>
            <w:r w:rsidR="003B7BA5">
              <w:t>A</w:t>
            </w:r>
            <w:r>
              <w:t xml:space="preserve">ction </w:t>
            </w:r>
            <w:r w:rsidR="003B7BA5">
              <w:t>P</w:t>
            </w:r>
            <w:r>
              <w:t xml:space="preserve">lan, Canada </w:t>
            </w:r>
            <w:r>
              <w:lastRenderedPageBreak/>
              <w:t xml:space="preserve">will work to advance the </w:t>
            </w:r>
            <w:r w:rsidR="003B7BA5">
              <w:t>A</w:t>
            </w:r>
            <w:r>
              <w:t xml:space="preserve">genda through its diplomatic and programming </w:t>
            </w:r>
            <w:r w:rsidRPr="00DA0BA7">
              <w:t>efforts</w:t>
            </w:r>
            <w:r>
              <w:t xml:space="preserve">, and </w:t>
            </w:r>
            <w:r w:rsidR="004974C0">
              <w:t xml:space="preserve">will </w:t>
            </w:r>
            <w:r>
              <w:t>ensure that gender perspectives are integrated in</w:t>
            </w:r>
            <w:r w:rsidR="004974C0">
              <w:t>to</w:t>
            </w:r>
            <w:r>
              <w:t xml:space="preserve"> peace and security </w:t>
            </w:r>
            <w:r w:rsidR="0035306C">
              <w:t>activities</w:t>
            </w:r>
            <w:r>
              <w:t>.</w:t>
            </w:r>
          </w:p>
        </w:tc>
      </w:tr>
      <w:tr w:rsidR="003175CA" w14:paraId="05E0E590" w14:textId="77777777" w:rsidTr="37E1D18E">
        <w:tc>
          <w:tcPr>
            <w:tcW w:w="1450" w:type="pct"/>
            <w:shd w:val="clear" w:color="auto" w:fill="F2F2F2" w:themeFill="background1" w:themeFillShade="F2"/>
          </w:tcPr>
          <w:p w14:paraId="5423F9D5" w14:textId="479F97EC" w:rsidR="003175CA" w:rsidRDefault="003175CA" w:rsidP="00C9252A">
            <w:pPr>
              <w:pStyle w:val="Default"/>
              <w:numPr>
                <w:ilvl w:val="0"/>
                <w:numId w:val="2"/>
              </w:numPr>
              <w:spacing w:before="120" w:after="120"/>
              <w:rPr>
                <w:b/>
                <w:bCs/>
                <w:sz w:val="23"/>
                <w:szCs w:val="23"/>
              </w:rPr>
            </w:pPr>
            <w:r>
              <w:rPr>
                <w:b/>
                <w:bCs/>
                <w:sz w:val="23"/>
                <w:szCs w:val="23"/>
              </w:rPr>
              <w:t xml:space="preserve"> </w:t>
            </w:r>
            <w:r w:rsidR="00641138" w:rsidRPr="00641138">
              <w:rPr>
                <w:b/>
                <w:bCs/>
              </w:rPr>
              <w:t xml:space="preserve">Call on </w:t>
            </w:r>
            <w:r w:rsidR="00641138" w:rsidRPr="00641138">
              <w:t>APPF Member Countries to improve the legal documents, policies and agendas to create and expand opportunities for women to contribute to peace and security in the world by ensuring women’s representation and active participation in conflict prevention, crisis management and non-traditional security challenges resolution, creating a solid foundation for transforming economies and for the comprehensive development of women;</w:t>
            </w:r>
          </w:p>
        </w:tc>
        <w:tc>
          <w:tcPr>
            <w:tcW w:w="3550" w:type="pct"/>
          </w:tcPr>
          <w:p w14:paraId="03343BA5" w14:textId="230316F2" w:rsidR="003175CA" w:rsidRDefault="37E1D18E" w:rsidP="37E1D18E">
            <w:pPr>
              <w:spacing w:before="120" w:after="120"/>
            </w:pPr>
            <w:r>
              <w:t xml:space="preserve">As part of </w:t>
            </w:r>
            <w:r w:rsidR="006D4EBC">
              <w:t>the</w:t>
            </w:r>
            <w:r>
              <w:t xml:space="preserve"> </w:t>
            </w:r>
            <w:hyperlink r:id="rId36" w:history="1">
              <w:r w:rsidR="00CB4BD1" w:rsidRPr="00CB4BD1">
                <w:rPr>
                  <w:rStyle w:val="Hyperlink"/>
                </w:rPr>
                <w:t>Action Pl</w:t>
              </w:r>
              <w:r w:rsidR="00CB4BD1" w:rsidRPr="00CB4BD1">
                <w:rPr>
                  <w:rStyle w:val="Hyperlink"/>
                </w:rPr>
                <w:t>a</w:t>
              </w:r>
              <w:r w:rsidR="00CB4BD1" w:rsidRPr="00CB4BD1">
                <w:rPr>
                  <w:rStyle w:val="Hyperlink"/>
                </w:rPr>
                <w:t>n for the Implementation of United Nations Security Council Resolutions on Women, Peace and Security - 2017-2022</w:t>
              </w:r>
            </w:hyperlink>
            <w:r>
              <w:t xml:space="preserve">, Canada will take a leadership role </w:t>
            </w:r>
            <w:r w:rsidR="00836D68">
              <w:t>in</w:t>
            </w:r>
            <w:r>
              <w:t xml:space="preserve"> implement</w:t>
            </w:r>
            <w:r w:rsidR="00836D68">
              <w:t>ing</w:t>
            </w:r>
            <w:r>
              <w:t xml:space="preserve"> global objectives that support the integration of the </w:t>
            </w:r>
            <w:r w:rsidR="00214A69">
              <w:t>United Nations’ W</w:t>
            </w:r>
            <w:r>
              <w:t xml:space="preserve">omen, </w:t>
            </w:r>
            <w:r w:rsidR="00214A69">
              <w:t>P</w:t>
            </w:r>
            <w:r>
              <w:t xml:space="preserve">eace and </w:t>
            </w:r>
            <w:r w:rsidR="00214A69">
              <w:t>S</w:t>
            </w:r>
            <w:r>
              <w:t xml:space="preserve">ecurity </w:t>
            </w:r>
            <w:r w:rsidR="006D4EBC">
              <w:t>A</w:t>
            </w:r>
            <w:r>
              <w:t>genda in initiatives relat</w:t>
            </w:r>
            <w:r w:rsidR="00214A69">
              <w:t>ing</w:t>
            </w:r>
            <w:r>
              <w:t xml:space="preserve"> to fragile and conflict--affected states. As part of the </w:t>
            </w:r>
            <w:r w:rsidR="003B7BA5">
              <w:t>A</w:t>
            </w:r>
            <w:r w:rsidR="006D4EBC">
              <w:t xml:space="preserve">ction </w:t>
            </w:r>
            <w:r w:rsidR="003B7BA5">
              <w:t>P</w:t>
            </w:r>
            <w:r>
              <w:t xml:space="preserve">lan, gender perspectives will continue to be integrated into Canada’s contributions to peace operations, peacebuilding, development and humanitarian assistance, and </w:t>
            </w:r>
            <w:r w:rsidR="00813638">
              <w:t xml:space="preserve">the </w:t>
            </w:r>
            <w:r>
              <w:t xml:space="preserve">prevention and resolution of conflicts. In addition, Canada will use </w:t>
            </w:r>
            <w:r w:rsidR="00813638">
              <w:t>G</w:t>
            </w:r>
            <w:r>
              <w:t>ender-</w:t>
            </w:r>
            <w:r w:rsidR="00813638">
              <w:t>B</w:t>
            </w:r>
            <w:r>
              <w:t xml:space="preserve">ased </w:t>
            </w:r>
            <w:r w:rsidR="00813638">
              <w:t>A</w:t>
            </w:r>
            <w:r>
              <w:t xml:space="preserve">nalysis </w:t>
            </w:r>
            <w:r w:rsidR="00813638">
              <w:t>P</w:t>
            </w:r>
            <w:r>
              <w:t xml:space="preserve">lus tools to strengthen </w:t>
            </w:r>
            <w:r w:rsidR="00813638">
              <w:t>the country’s</w:t>
            </w:r>
            <w:r>
              <w:t xml:space="preserve"> capacity to integrate more targeted gender</w:t>
            </w:r>
            <w:r w:rsidR="00813638">
              <w:t>-</w:t>
            </w:r>
            <w:r>
              <w:t xml:space="preserve">equality objectives into its activities around the world. The </w:t>
            </w:r>
            <w:r w:rsidR="003B7BA5">
              <w:t>A</w:t>
            </w:r>
            <w:r w:rsidR="006D4EBC">
              <w:t xml:space="preserve">ction </w:t>
            </w:r>
            <w:r w:rsidR="003B7BA5">
              <w:t>P</w:t>
            </w:r>
            <w:r>
              <w:t xml:space="preserve">lan also states that Canada will: support gender and diversity objectives when considering how to counter and prevent radicalization and violent extremism; manage international migration issues by supporting and protecting women and children who are migrating to Canada; and integrate gender perspectives when providing advice about justice reform in fragile and conflict-affected states and </w:t>
            </w:r>
            <w:r w:rsidR="00813638">
              <w:t>during</w:t>
            </w:r>
            <w:r>
              <w:t xml:space="preserve"> the investigation and prosecution of war crimes and crimes against humanity.</w:t>
            </w:r>
          </w:p>
        </w:tc>
      </w:tr>
      <w:tr w:rsidR="003175CA" w14:paraId="65C676BF" w14:textId="77777777" w:rsidTr="37E1D18E">
        <w:tc>
          <w:tcPr>
            <w:tcW w:w="1450" w:type="pct"/>
            <w:shd w:val="clear" w:color="auto" w:fill="F2F2F2" w:themeFill="background1" w:themeFillShade="F2"/>
          </w:tcPr>
          <w:p w14:paraId="1FD376C5" w14:textId="3C371FCF" w:rsidR="003175CA" w:rsidRDefault="003175CA" w:rsidP="00C9252A">
            <w:pPr>
              <w:pStyle w:val="Default"/>
              <w:numPr>
                <w:ilvl w:val="0"/>
                <w:numId w:val="2"/>
              </w:numPr>
              <w:spacing w:before="120" w:after="120"/>
              <w:rPr>
                <w:b/>
                <w:bCs/>
                <w:sz w:val="23"/>
                <w:szCs w:val="23"/>
              </w:rPr>
            </w:pPr>
            <w:r>
              <w:rPr>
                <w:b/>
                <w:bCs/>
                <w:sz w:val="23"/>
                <w:szCs w:val="23"/>
              </w:rPr>
              <w:t xml:space="preserve"> </w:t>
            </w:r>
            <w:r w:rsidR="00B179B4" w:rsidRPr="00B179B4">
              <w:rPr>
                <w:b/>
                <w:bCs/>
              </w:rPr>
              <w:t xml:space="preserve">Call on </w:t>
            </w:r>
            <w:r w:rsidR="00B179B4" w:rsidRPr="00B179B4">
              <w:t>APPF</w:t>
            </w:r>
            <w:r w:rsidR="00B179B4" w:rsidRPr="00B179B4">
              <w:rPr>
                <w:b/>
                <w:bCs/>
              </w:rPr>
              <w:t xml:space="preserve"> </w:t>
            </w:r>
            <w:r w:rsidR="00B179B4" w:rsidRPr="00B179B4">
              <w:t xml:space="preserve">Member Countries to exert all diplomatic efforts to contribute to ensuring that the Afghan government protects the human rights of women and guarantees women’s </w:t>
            </w:r>
            <w:r w:rsidR="00B179B4" w:rsidRPr="00B179B4">
              <w:lastRenderedPageBreak/>
              <w:t>participation in the nation’s development and efforts to build peace and security;</w:t>
            </w:r>
          </w:p>
        </w:tc>
        <w:tc>
          <w:tcPr>
            <w:tcW w:w="3550" w:type="pct"/>
          </w:tcPr>
          <w:p w14:paraId="0E80298B" w14:textId="33C7E43C" w:rsidR="003175CA" w:rsidRDefault="37E1D18E" w:rsidP="00E50BFA">
            <w:pPr>
              <w:spacing w:before="120" w:after="120"/>
            </w:pPr>
            <w:r>
              <w:lastRenderedPageBreak/>
              <w:t xml:space="preserve">Canada has taken steps to exert diplomatic pressure on the current Afghan authorities </w:t>
            </w:r>
            <w:r w:rsidR="00D23E7E">
              <w:t>with the goal of</w:t>
            </w:r>
            <w:r>
              <w:t xml:space="preserve"> protect</w:t>
            </w:r>
            <w:r w:rsidR="00D23E7E">
              <w:t>ing</w:t>
            </w:r>
            <w:r>
              <w:t xml:space="preserve"> the human rights of women. This </w:t>
            </w:r>
            <w:r w:rsidR="00D23E7E">
              <w:t xml:space="preserve">pressure </w:t>
            </w:r>
            <w:r>
              <w:t xml:space="preserve">includes a 13 May 2022 </w:t>
            </w:r>
            <w:hyperlink r:id="rId37">
              <w:r w:rsidR="00141D0A">
                <w:rPr>
                  <w:rStyle w:val="Hyperlink"/>
                </w:rPr>
                <w:t>j</w:t>
              </w:r>
              <w:r w:rsidRPr="37E1D18E">
                <w:rPr>
                  <w:rStyle w:val="Hyperlink"/>
                </w:rPr>
                <w:t xml:space="preserve">oint </w:t>
              </w:r>
              <w:r w:rsidR="00141D0A">
                <w:rPr>
                  <w:rStyle w:val="Hyperlink"/>
                </w:rPr>
                <w:t>s</w:t>
              </w:r>
              <w:r w:rsidRPr="37E1D18E">
                <w:rPr>
                  <w:rStyle w:val="Hyperlink"/>
                </w:rPr>
                <w:t>ta</w:t>
              </w:r>
              <w:r w:rsidRPr="37E1D18E">
                <w:rPr>
                  <w:rStyle w:val="Hyperlink"/>
                </w:rPr>
                <w:t>t</w:t>
              </w:r>
              <w:r w:rsidRPr="37E1D18E">
                <w:rPr>
                  <w:rStyle w:val="Hyperlink"/>
                </w:rPr>
                <w:t>ement</w:t>
              </w:r>
            </w:hyperlink>
            <w:r>
              <w:t xml:space="preserve"> by </w:t>
            </w:r>
            <w:r w:rsidR="00D23E7E">
              <w:t xml:space="preserve">Canada, </w:t>
            </w:r>
            <w:r>
              <w:t xml:space="preserve">Australia, Denmark, Finland, Germany, Italy, Japan, New Zealand, Norway, </w:t>
            </w:r>
            <w:r w:rsidR="00141D0A">
              <w:t xml:space="preserve">South Korea, </w:t>
            </w:r>
            <w:r>
              <w:t>Spain, Sweden, the United Kingdom and the United States</w:t>
            </w:r>
            <w:r w:rsidR="00D23E7E">
              <w:t xml:space="preserve">. The </w:t>
            </w:r>
            <w:r w:rsidR="007D15F5">
              <w:t xml:space="preserve">joint </w:t>
            </w:r>
            <w:r w:rsidR="00D23E7E">
              <w:t>statement</w:t>
            </w:r>
            <w:r>
              <w:t xml:space="preserve"> </w:t>
            </w:r>
            <w:r w:rsidR="007D15F5">
              <w:t>indicates</w:t>
            </w:r>
            <w:r>
              <w:t xml:space="preserve"> that “the Taliban’s directive that women and girls must cover themselves in public and leave home only in cases of necessity, and with a man</w:t>
            </w:r>
            <w:r w:rsidR="00CB4BD1">
              <w:t>,</w:t>
            </w:r>
            <w:r>
              <w:t xml:space="preserve"> restricts their universal and inalienable human rights. We call on the Taliban to reconsider decisions which constrain the right of women and girls to make their </w:t>
            </w:r>
            <w:r>
              <w:lastRenderedPageBreak/>
              <w:t>own choices, gain an education, work and participate equally in society. We will continue to judge the Taliban on their actions, not their words.”</w:t>
            </w:r>
          </w:p>
        </w:tc>
      </w:tr>
      <w:tr w:rsidR="003175CA" w14:paraId="43D336DC" w14:textId="77777777" w:rsidTr="37E1D18E">
        <w:tc>
          <w:tcPr>
            <w:tcW w:w="1450" w:type="pct"/>
            <w:shd w:val="clear" w:color="auto" w:fill="F2F2F2" w:themeFill="background1" w:themeFillShade="F2"/>
          </w:tcPr>
          <w:p w14:paraId="09C67D41" w14:textId="0AA046B8" w:rsidR="003175CA" w:rsidRDefault="003175CA" w:rsidP="00C9252A">
            <w:pPr>
              <w:pStyle w:val="Default"/>
              <w:numPr>
                <w:ilvl w:val="0"/>
                <w:numId w:val="2"/>
              </w:numPr>
              <w:spacing w:before="120" w:after="120"/>
              <w:rPr>
                <w:b/>
                <w:bCs/>
                <w:sz w:val="23"/>
                <w:szCs w:val="23"/>
              </w:rPr>
            </w:pPr>
            <w:r>
              <w:rPr>
                <w:b/>
                <w:bCs/>
                <w:sz w:val="23"/>
                <w:szCs w:val="23"/>
              </w:rPr>
              <w:lastRenderedPageBreak/>
              <w:t xml:space="preserve"> </w:t>
            </w:r>
            <w:r w:rsidR="00B179B4" w:rsidRPr="00B179B4">
              <w:rPr>
                <w:b/>
                <w:bCs/>
              </w:rPr>
              <w:t xml:space="preserve">Recommend </w:t>
            </w:r>
            <w:r w:rsidR="00B179B4" w:rsidRPr="00B179B4">
              <w:t>APPF Member Countries to create and strengthen sessions dedicated for women MPs in major inter-parliamentary meetings and international conferences to promote dialogue and share knowledge and experience among women leaders, including the Eurasian Women’s Forum, which will be held for the fourth time in 2024 in the Russian Federation which all representatives of APPF Member countries are invited; and</w:t>
            </w:r>
          </w:p>
        </w:tc>
        <w:tc>
          <w:tcPr>
            <w:tcW w:w="3550" w:type="pct"/>
          </w:tcPr>
          <w:p w14:paraId="110133AC" w14:textId="3F7112DB" w:rsidR="00AF7780" w:rsidRDefault="37E1D18E" w:rsidP="00E50BFA">
            <w:pPr>
              <w:spacing w:before="120" w:after="120"/>
            </w:pPr>
            <w:r>
              <w:t>As a</w:t>
            </w:r>
            <w:r w:rsidR="00CB4BD1">
              <w:t>n active</w:t>
            </w:r>
            <w:r>
              <w:t xml:space="preserve"> member of the Inter</w:t>
            </w:r>
            <w:r w:rsidR="00D23E7E">
              <w:t>-</w:t>
            </w:r>
            <w:r>
              <w:t>Parliamentary Union (IPU), Canada has been</w:t>
            </w:r>
            <w:r w:rsidR="00CB4BD1">
              <w:t xml:space="preserve"> </w:t>
            </w:r>
            <w:hyperlink r:id="rId38" w:history="1">
              <w:r w:rsidR="00CB4BD1" w:rsidRPr="00B23276">
                <w:rPr>
                  <w:rStyle w:val="Hyperlink"/>
                </w:rPr>
                <w:t>involv</w:t>
              </w:r>
              <w:r w:rsidR="00CB4BD1" w:rsidRPr="00B23276">
                <w:rPr>
                  <w:rStyle w:val="Hyperlink"/>
                </w:rPr>
                <w:t>e</w:t>
              </w:r>
              <w:r w:rsidR="00CB4BD1" w:rsidRPr="00B23276">
                <w:rPr>
                  <w:rStyle w:val="Hyperlink"/>
                </w:rPr>
                <w:t>d</w:t>
              </w:r>
            </w:hyperlink>
            <w:r w:rsidR="00CB4BD1">
              <w:t xml:space="preserve"> in various IPU reforms, including</w:t>
            </w:r>
            <w:r>
              <w:t xml:space="preserve"> </w:t>
            </w:r>
            <w:r w:rsidR="00141D0A">
              <w:t xml:space="preserve">in relation to the </w:t>
            </w:r>
            <w:r>
              <w:t>integrati</w:t>
            </w:r>
            <w:r w:rsidR="00141D0A">
              <w:t>o</w:t>
            </w:r>
            <w:r>
              <w:t>n</w:t>
            </w:r>
            <w:r w:rsidR="00141D0A">
              <w:t xml:space="preserve"> of</w:t>
            </w:r>
            <w:r>
              <w:t xml:space="preserve"> gender perspectives in</w:t>
            </w:r>
            <w:r w:rsidR="00DE5031">
              <w:t>to</w:t>
            </w:r>
            <w:r>
              <w:t xml:space="preserve"> </w:t>
            </w:r>
            <w:r w:rsidR="00B23276">
              <w:t>the IPU’s</w:t>
            </w:r>
            <w:r>
              <w:t xml:space="preserve"> work and </w:t>
            </w:r>
            <w:r w:rsidR="00DE5031">
              <w:t xml:space="preserve">the </w:t>
            </w:r>
            <w:r>
              <w:t>promoti</w:t>
            </w:r>
            <w:r w:rsidR="00DE5031">
              <w:t>o</w:t>
            </w:r>
            <w:r>
              <w:t>n</w:t>
            </w:r>
            <w:r w:rsidR="00DE5031">
              <w:t xml:space="preserve"> of</w:t>
            </w:r>
            <w:r>
              <w:t xml:space="preserve"> gender equality. These efforts contributed to the formalization of the Meeting (later Forum) of Women Parliamentarians at the </w:t>
            </w:r>
            <w:r w:rsidR="00B23276">
              <w:t xml:space="preserve">IPU </w:t>
            </w:r>
            <w:r>
              <w:t xml:space="preserve">Assembly </w:t>
            </w:r>
            <w:r w:rsidR="00DE5031">
              <w:t xml:space="preserve">held in Ottawa </w:t>
            </w:r>
            <w:r>
              <w:t xml:space="preserve">in 1985, with Canadian delegates serving terms as </w:t>
            </w:r>
            <w:r w:rsidR="00B23276">
              <w:t xml:space="preserve">the Forum’s </w:t>
            </w:r>
            <w:r>
              <w:t>president a</w:t>
            </w:r>
            <w:r w:rsidR="00D23E7E">
              <w:t>nd</w:t>
            </w:r>
            <w:r>
              <w:t xml:space="preserve"> </w:t>
            </w:r>
            <w:r w:rsidR="00DE5031">
              <w:t xml:space="preserve">as </w:t>
            </w:r>
            <w:r>
              <w:t xml:space="preserve">members of its steering committee. </w:t>
            </w:r>
            <w:r w:rsidR="00026707">
              <w:t xml:space="preserve">The active participation of Canadian delegates </w:t>
            </w:r>
            <w:r>
              <w:t xml:space="preserve">also influenced the creation of the </w:t>
            </w:r>
            <w:r w:rsidR="00DE5031">
              <w:t xml:space="preserve">IPU </w:t>
            </w:r>
            <w:r w:rsidR="00D23E7E">
              <w:t>e</w:t>
            </w:r>
            <w:r>
              <w:t xml:space="preserve">xecutive </w:t>
            </w:r>
            <w:r w:rsidR="00D23E7E">
              <w:t>c</w:t>
            </w:r>
            <w:r>
              <w:t>ommittee’s Gender Partnership Group in 1997. The</w:t>
            </w:r>
            <w:r w:rsidR="00026707">
              <w:t xml:space="preserve"> Forum and the Gender Partnership Group </w:t>
            </w:r>
            <w:r>
              <w:t xml:space="preserve">have </w:t>
            </w:r>
            <w:r w:rsidR="00026707">
              <w:t xml:space="preserve">promoted </w:t>
            </w:r>
            <w:r>
              <w:t xml:space="preserve">a series of amendments to the IPU’s statutes </w:t>
            </w:r>
            <w:r w:rsidR="00026707">
              <w:t>that</w:t>
            </w:r>
            <w:r w:rsidR="00AF7780">
              <w:t>:</w:t>
            </w:r>
            <w:r>
              <w:t xml:space="preserve"> </w:t>
            </w:r>
            <w:r w:rsidR="00026707">
              <w:t xml:space="preserve">require </w:t>
            </w:r>
            <w:r>
              <w:t xml:space="preserve">women’s representation on the </w:t>
            </w:r>
            <w:r w:rsidR="00D23E7E">
              <w:t>e</w:t>
            </w:r>
            <w:r>
              <w:t xml:space="preserve">xecutive </w:t>
            </w:r>
            <w:r w:rsidR="00D23E7E">
              <w:t>c</w:t>
            </w:r>
            <w:r>
              <w:t>ommittee</w:t>
            </w:r>
            <w:r w:rsidR="00DE5031">
              <w:t>;</w:t>
            </w:r>
            <w:r>
              <w:t xml:space="preserve"> </w:t>
            </w:r>
            <w:r w:rsidR="00864C7D">
              <w:t xml:space="preserve">encourage </w:t>
            </w:r>
            <w:r>
              <w:t xml:space="preserve">delegations to include </w:t>
            </w:r>
            <w:r w:rsidR="007D15F5">
              <w:t xml:space="preserve">both </w:t>
            </w:r>
            <w:r>
              <w:t>women and men</w:t>
            </w:r>
            <w:r w:rsidR="00AF7780">
              <w:t>;</w:t>
            </w:r>
            <w:r>
              <w:t xml:space="preserve"> and </w:t>
            </w:r>
            <w:r w:rsidR="00026707">
              <w:t xml:space="preserve">mandate </w:t>
            </w:r>
            <w:r w:rsidR="00AF7780">
              <w:t>the use of</w:t>
            </w:r>
            <w:r>
              <w:t xml:space="preserve"> more gender-neutral language in </w:t>
            </w:r>
            <w:r w:rsidR="00AF7780">
              <w:t xml:space="preserve">the </w:t>
            </w:r>
            <w:r>
              <w:t>IPU</w:t>
            </w:r>
            <w:r w:rsidR="00AF7780">
              <w:t>’s</w:t>
            </w:r>
            <w:r>
              <w:t xml:space="preserve"> official documents and rules. </w:t>
            </w:r>
          </w:p>
          <w:p w14:paraId="1EBFEC26" w14:textId="6835087A" w:rsidR="003175CA" w:rsidRDefault="00DE5031" w:rsidP="00E50BFA">
            <w:pPr>
              <w:spacing w:before="120" w:after="120"/>
            </w:pPr>
            <w:r>
              <w:t>As well, t</w:t>
            </w:r>
            <w:r w:rsidR="37E1D18E">
              <w:t>he IPU has worked to promote gender equality through partnership</w:t>
            </w:r>
            <w:r w:rsidR="00AF7780">
              <w:t>s</w:t>
            </w:r>
            <w:r w:rsidR="37E1D18E">
              <w:t xml:space="preserve"> with UN bodies. For example, the IPU and UN Women co-organize an annual parliamentary meeting at sessions of the Commission on the Status of Women. </w:t>
            </w:r>
            <w:r w:rsidR="007D15F5">
              <w:t xml:space="preserve">At these meetings, </w:t>
            </w:r>
            <w:r w:rsidR="37E1D18E">
              <w:t xml:space="preserve">Canadian </w:t>
            </w:r>
            <w:r w:rsidR="007D15F5">
              <w:t xml:space="preserve">and other </w:t>
            </w:r>
            <w:r w:rsidR="37E1D18E">
              <w:t>parliamentarians</w:t>
            </w:r>
            <w:r w:rsidR="007D15F5">
              <w:t>, as well as UN officials,</w:t>
            </w:r>
            <w:r w:rsidR="37E1D18E">
              <w:t xml:space="preserve"> </w:t>
            </w:r>
            <w:r w:rsidR="00864C7D">
              <w:t>discuss various topics relating to gender equality, including the empowerment of rural women and girls.</w:t>
            </w:r>
          </w:p>
        </w:tc>
      </w:tr>
      <w:tr w:rsidR="003175CA" w14:paraId="1F7F5C68" w14:textId="77777777" w:rsidTr="37E1D18E">
        <w:tc>
          <w:tcPr>
            <w:tcW w:w="1450" w:type="pct"/>
            <w:shd w:val="clear" w:color="auto" w:fill="F2F2F2" w:themeFill="background1" w:themeFillShade="F2"/>
          </w:tcPr>
          <w:p w14:paraId="18EC7396" w14:textId="2CA2C736" w:rsidR="003175CA" w:rsidRDefault="003175CA" w:rsidP="00C9252A">
            <w:pPr>
              <w:pStyle w:val="Default"/>
              <w:numPr>
                <w:ilvl w:val="0"/>
                <w:numId w:val="2"/>
              </w:numPr>
              <w:spacing w:before="120" w:after="120"/>
              <w:rPr>
                <w:b/>
                <w:bCs/>
                <w:sz w:val="23"/>
                <w:szCs w:val="23"/>
              </w:rPr>
            </w:pPr>
            <w:r>
              <w:rPr>
                <w:b/>
                <w:bCs/>
                <w:sz w:val="23"/>
                <w:szCs w:val="23"/>
              </w:rPr>
              <w:t xml:space="preserve"> </w:t>
            </w:r>
            <w:r w:rsidR="002D0C94" w:rsidRPr="002D0C94">
              <w:rPr>
                <w:b/>
                <w:bCs/>
              </w:rPr>
              <w:t xml:space="preserve">Urge </w:t>
            </w:r>
            <w:r w:rsidR="002D0C94" w:rsidRPr="002D0C94">
              <w:t>the Parliaments of APPF Member Countries to strengthen cooperation, collaboration, and partnership among each other and with other relevant institutions, as well as sharing the lessons learned in achieving gender equality by increasing women’s participation and representations.</w:t>
            </w:r>
          </w:p>
        </w:tc>
        <w:tc>
          <w:tcPr>
            <w:tcW w:w="3550" w:type="pct"/>
          </w:tcPr>
          <w:p w14:paraId="2E9BBC61" w14:textId="48777F31" w:rsidR="003175CA" w:rsidRDefault="37E1D18E" w:rsidP="00E50BFA">
            <w:pPr>
              <w:spacing w:before="120" w:after="120"/>
            </w:pPr>
            <w:r>
              <w:t xml:space="preserve">On </w:t>
            </w:r>
            <w:r w:rsidR="00AF7780">
              <w:t xml:space="preserve">15 </w:t>
            </w:r>
            <w:r>
              <w:t xml:space="preserve">March 2022, Canadian parliamentarians </w:t>
            </w:r>
            <w:hyperlink r:id="rId39" w:anchor="4-0">
              <w:r w:rsidRPr="37E1D18E">
                <w:rPr>
                  <w:rStyle w:val="Hyperlink"/>
                </w:rPr>
                <w:t>particip</w:t>
              </w:r>
              <w:r w:rsidRPr="37E1D18E">
                <w:rPr>
                  <w:rStyle w:val="Hyperlink"/>
                </w:rPr>
                <w:t>a</w:t>
              </w:r>
              <w:r w:rsidRPr="37E1D18E">
                <w:rPr>
                  <w:rStyle w:val="Hyperlink"/>
                </w:rPr>
                <w:t>ted</w:t>
              </w:r>
            </w:hyperlink>
            <w:r>
              <w:t xml:space="preserve"> in a</w:t>
            </w:r>
            <w:r w:rsidR="00AF7780">
              <w:t>n</w:t>
            </w:r>
            <w:r>
              <w:t xml:space="preserve"> event marking the 10</w:t>
            </w:r>
            <w:r w:rsidRPr="00DE7F76">
              <w:rPr>
                <w:vertAlign w:val="superscript"/>
              </w:rPr>
              <w:t xml:space="preserve">th </w:t>
            </w:r>
            <w:r>
              <w:t xml:space="preserve">anniversary of the </w:t>
            </w:r>
            <w:hyperlink r:id="rId40" w:history="1">
              <w:r w:rsidRPr="00864C7D">
                <w:rPr>
                  <w:rStyle w:val="Hyperlink"/>
                </w:rPr>
                <w:t>Plan of Action for Gen</w:t>
              </w:r>
              <w:r w:rsidRPr="00864C7D">
                <w:rPr>
                  <w:rStyle w:val="Hyperlink"/>
                </w:rPr>
                <w:t>d</w:t>
              </w:r>
              <w:r w:rsidRPr="00864C7D">
                <w:rPr>
                  <w:rStyle w:val="Hyperlink"/>
                </w:rPr>
                <w:t>er-sensitive Parliaments</w:t>
              </w:r>
            </w:hyperlink>
            <w:r>
              <w:t xml:space="preserve">, </w:t>
            </w:r>
            <w:r w:rsidR="00AF7780">
              <w:t>which the IPU</w:t>
            </w:r>
            <w:r>
              <w:t xml:space="preserve"> adopted at its 127</w:t>
            </w:r>
            <w:r w:rsidRPr="00DE7F76">
              <w:rPr>
                <w:vertAlign w:val="superscript"/>
              </w:rPr>
              <w:t>th</w:t>
            </w:r>
            <w:r>
              <w:t xml:space="preserve"> Assembly </w:t>
            </w:r>
            <w:r w:rsidR="007D15F5">
              <w:t xml:space="preserve">held </w:t>
            </w:r>
            <w:r>
              <w:t>in Quebec City</w:t>
            </w:r>
            <w:r w:rsidR="00AF7780">
              <w:t>; the</w:t>
            </w:r>
            <w:r>
              <w:t xml:space="preserve"> event was co-sponsored by the Permanent Mission of Canada to the United Nations. Canadian </w:t>
            </w:r>
            <w:r w:rsidR="00B911FB">
              <w:t>delegates</w:t>
            </w:r>
            <w:r>
              <w:t xml:space="preserve"> highlighted factors contributing to the under</w:t>
            </w:r>
            <w:r w:rsidR="00864C7D">
              <w:t>-</w:t>
            </w:r>
            <w:r>
              <w:t xml:space="preserve">representation of women in </w:t>
            </w:r>
            <w:r w:rsidRPr="00DE7F76">
              <w:t xml:space="preserve">parliaments and participated in </w:t>
            </w:r>
            <w:r w:rsidR="00AF7780" w:rsidRPr="00DE7F76">
              <w:t>a</w:t>
            </w:r>
            <w:r>
              <w:t xml:space="preserve"> panel </w:t>
            </w:r>
            <w:r w:rsidR="00AF7780">
              <w:t xml:space="preserve">discussion </w:t>
            </w:r>
            <w:r>
              <w:t xml:space="preserve">on the </w:t>
            </w:r>
            <w:r w:rsidR="00DE5031">
              <w:t xml:space="preserve">topic of the </w:t>
            </w:r>
            <w:r>
              <w:t xml:space="preserve">role of men in advancing gender equality. They emphasized recent developments in Canada, including the enactment of the </w:t>
            </w:r>
            <w:r w:rsidRPr="00DE7F76">
              <w:rPr>
                <w:i/>
                <w:iCs/>
              </w:rPr>
              <w:t>Gender Equality Week Act</w:t>
            </w:r>
            <w:r>
              <w:t xml:space="preserve"> in 2018</w:t>
            </w:r>
            <w:r w:rsidR="009234FD">
              <w:t>.</w:t>
            </w:r>
          </w:p>
          <w:p w14:paraId="421AF6EB" w14:textId="3B5EE3ED" w:rsidR="003175CA" w:rsidRDefault="00DE5031" w:rsidP="37E1D18E">
            <w:pPr>
              <w:spacing w:before="120" w:after="120"/>
              <w:rPr>
                <w:rFonts w:eastAsia="Calibri" w:cs="Arial"/>
              </w:rPr>
            </w:pPr>
            <w:r>
              <w:rPr>
                <w:rFonts w:eastAsia="Calibri" w:cs="Arial"/>
              </w:rPr>
              <w:t>On 14 March 2022, the Commission on the Status of Women convened its</w:t>
            </w:r>
            <w:r w:rsidR="37E1D18E" w:rsidRPr="37E1D18E">
              <w:rPr>
                <w:rFonts w:eastAsia="Calibri" w:cs="Arial"/>
              </w:rPr>
              <w:t xml:space="preserve"> </w:t>
            </w:r>
            <w:hyperlink r:id="rId41" w:history="1">
              <w:r>
                <w:rPr>
                  <w:rStyle w:val="Hyperlink"/>
                  <w:rFonts w:eastAsia="Calibri" w:cs="Arial"/>
                </w:rPr>
                <w:t>a</w:t>
              </w:r>
              <w:r w:rsidR="37E1D18E" w:rsidRPr="009234FD">
                <w:rPr>
                  <w:rStyle w:val="Hyperlink"/>
                  <w:rFonts w:eastAsia="Calibri" w:cs="Arial"/>
                </w:rPr>
                <w:t xml:space="preserve">nnual </w:t>
              </w:r>
              <w:r>
                <w:rPr>
                  <w:rStyle w:val="Hyperlink"/>
                  <w:rFonts w:eastAsia="Calibri" w:cs="Arial"/>
                </w:rPr>
                <w:t>p</w:t>
              </w:r>
              <w:r w:rsidR="37E1D18E" w:rsidRPr="009234FD">
                <w:rPr>
                  <w:rStyle w:val="Hyperlink"/>
                  <w:rFonts w:eastAsia="Calibri" w:cs="Arial"/>
                </w:rPr>
                <w:t>arliam</w:t>
              </w:r>
              <w:r w:rsidR="37E1D18E" w:rsidRPr="009234FD">
                <w:rPr>
                  <w:rStyle w:val="Hyperlink"/>
                  <w:rFonts w:eastAsia="Calibri" w:cs="Arial"/>
                </w:rPr>
                <w:t>e</w:t>
              </w:r>
              <w:r w:rsidR="37E1D18E" w:rsidRPr="009234FD">
                <w:rPr>
                  <w:rStyle w:val="Hyperlink"/>
                  <w:rFonts w:eastAsia="Calibri" w:cs="Arial"/>
                </w:rPr>
                <w:t xml:space="preserve">ntary </w:t>
              </w:r>
              <w:r>
                <w:rPr>
                  <w:rStyle w:val="Hyperlink"/>
                  <w:rFonts w:eastAsia="Calibri" w:cs="Arial"/>
                </w:rPr>
                <w:t>m</w:t>
              </w:r>
              <w:r w:rsidR="37E1D18E" w:rsidRPr="009F3443">
                <w:rPr>
                  <w:rStyle w:val="Hyperlink"/>
                  <w:rFonts w:eastAsia="Calibri" w:cs="Arial"/>
                </w:rPr>
                <w:t>eeting</w:t>
              </w:r>
            </w:hyperlink>
            <w:r w:rsidR="37E1D18E" w:rsidRPr="37E1D18E">
              <w:rPr>
                <w:rFonts w:eastAsia="Calibri" w:cs="Arial"/>
              </w:rPr>
              <w:t xml:space="preserve">. Co-organized by the IPU and UN Women, </w:t>
            </w:r>
            <w:r w:rsidR="00813638">
              <w:rPr>
                <w:rFonts w:eastAsia="Calibri" w:cs="Arial"/>
              </w:rPr>
              <w:t>the meeting</w:t>
            </w:r>
            <w:r w:rsidR="37E1D18E" w:rsidRPr="37E1D18E">
              <w:rPr>
                <w:rFonts w:eastAsia="Calibri" w:cs="Arial"/>
              </w:rPr>
              <w:t xml:space="preserve"> brought together legislators from around the globe to discuss the theme</w:t>
            </w:r>
            <w:r w:rsidR="007D15F5">
              <w:rPr>
                <w:rFonts w:eastAsia="Calibri" w:cs="Arial"/>
              </w:rPr>
              <w:t xml:space="preserve"> of</w:t>
            </w:r>
            <w:r w:rsidR="37E1D18E" w:rsidRPr="37E1D18E">
              <w:rPr>
                <w:rFonts w:eastAsia="Calibri" w:cs="Arial"/>
              </w:rPr>
              <w:t xml:space="preserve"> </w:t>
            </w:r>
            <w:r w:rsidR="0035306C">
              <w:rPr>
                <w:rFonts w:eastAsia="Calibri" w:cs="Arial"/>
              </w:rPr>
              <w:t>“</w:t>
            </w:r>
            <w:hyperlink r:id="rId42" w:history="1">
              <w:r w:rsidR="37E1D18E" w:rsidRPr="00864C7D">
                <w:rPr>
                  <w:rStyle w:val="Hyperlink"/>
                  <w:rFonts w:eastAsia="Calibri" w:cs="Arial"/>
                </w:rPr>
                <w:t>The role o</w:t>
              </w:r>
              <w:r w:rsidR="37E1D18E" w:rsidRPr="00864C7D">
                <w:rPr>
                  <w:rStyle w:val="Hyperlink"/>
                  <w:rFonts w:eastAsia="Calibri" w:cs="Arial"/>
                </w:rPr>
                <w:t>f</w:t>
              </w:r>
              <w:r w:rsidR="37E1D18E" w:rsidRPr="00864C7D">
                <w:rPr>
                  <w:rStyle w:val="Hyperlink"/>
                  <w:rFonts w:eastAsia="Calibri" w:cs="Arial"/>
                </w:rPr>
                <w:t xml:space="preserve"> women’s leadership and gender-responsive parliaments in climate action</w:t>
              </w:r>
            </w:hyperlink>
            <w:r w:rsidR="37E1D18E" w:rsidRPr="37E1D18E">
              <w:rPr>
                <w:rFonts w:eastAsia="Calibri" w:cs="Arial"/>
              </w:rPr>
              <w:t>.</w:t>
            </w:r>
            <w:r w:rsidR="0035306C">
              <w:rPr>
                <w:rFonts w:eastAsia="Calibri" w:cs="Arial"/>
              </w:rPr>
              <w:t>”</w:t>
            </w:r>
            <w:r w:rsidR="37E1D18E" w:rsidRPr="37E1D18E">
              <w:rPr>
                <w:rFonts w:eastAsia="Calibri" w:cs="Arial"/>
              </w:rPr>
              <w:t xml:space="preserve"> </w:t>
            </w:r>
            <w:r>
              <w:rPr>
                <w:rFonts w:eastAsia="Calibri" w:cs="Arial"/>
              </w:rPr>
              <w:t>Members of t</w:t>
            </w:r>
            <w:r w:rsidR="37E1D18E" w:rsidRPr="37E1D18E">
              <w:rPr>
                <w:rFonts w:eastAsia="Calibri" w:cs="Arial"/>
              </w:rPr>
              <w:t xml:space="preserve">he Canadian Group of the Inter-Parliamentary Union </w:t>
            </w:r>
            <w:r w:rsidR="00813638">
              <w:rPr>
                <w:rFonts w:eastAsia="Calibri" w:cs="Arial"/>
              </w:rPr>
              <w:lastRenderedPageBreak/>
              <w:t>spoke about</w:t>
            </w:r>
            <w:r w:rsidR="37E1D18E" w:rsidRPr="37E1D18E">
              <w:rPr>
                <w:rFonts w:eastAsia="Calibri" w:cs="Arial"/>
              </w:rPr>
              <w:t xml:space="preserve"> women’s leadership and political participation in </w:t>
            </w:r>
            <w:r w:rsidR="0035306C">
              <w:rPr>
                <w:rFonts w:eastAsia="Calibri" w:cs="Arial"/>
              </w:rPr>
              <w:t xml:space="preserve">relation to </w:t>
            </w:r>
            <w:r w:rsidR="37E1D18E" w:rsidRPr="37E1D18E">
              <w:rPr>
                <w:rFonts w:eastAsia="Calibri" w:cs="Arial"/>
              </w:rPr>
              <w:t xml:space="preserve">climate action, </w:t>
            </w:r>
            <w:r w:rsidR="00813638">
              <w:rPr>
                <w:rFonts w:eastAsia="Calibri" w:cs="Arial"/>
              </w:rPr>
              <w:t>“</w:t>
            </w:r>
            <w:r w:rsidR="37E1D18E" w:rsidRPr="37E1D18E">
              <w:rPr>
                <w:rFonts w:eastAsia="Calibri" w:cs="Arial"/>
              </w:rPr>
              <w:t>green</w:t>
            </w:r>
            <w:r w:rsidR="00813638">
              <w:rPr>
                <w:rFonts w:eastAsia="Calibri" w:cs="Arial"/>
              </w:rPr>
              <w:t>”</w:t>
            </w:r>
            <w:r w:rsidR="37E1D18E" w:rsidRPr="37E1D18E">
              <w:rPr>
                <w:rFonts w:eastAsia="Calibri" w:cs="Arial"/>
              </w:rPr>
              <w:t xml:space="preserve"> parliaments, a</w:t>
            </w:r>
            <w:r w:rsidR="00813638">
              <w:rPr>
                <w:rFonts w:eastAsia="Calibri" w:cs="Arial"/>
              </w:rPr>
              <w:t>nd</w:t>
            </w:r>
            <w:r w:rsidR="37E1D18E" w:rsidRPr="37E1D18E">
              <w:rPr>
                <w:rFonts w:eastAsia="Calibri" w:cs="Arial"/>
              </w:rPr>
              <w:t xml:space="preserve"> legal and policy reforms</w:t>
            </w:r>
            <w:r w:rsidR="0035306C">
              <w:rPr>
                <w:rFonts w:eastAsia="Calibri" w:cs="Arial"/>
              </w:rPr>
              <w:t xml:space="preserve"> in the context of</w:t>
            </w:r>
            <w:r w:rsidR="37E1D18E" w:rsidRPr="37E1D18E">
              <w:rPr>
                <w:rFonts w:eastAsia="Calibri" w:cs="Arial"/>
              </w:rPr>
              <w:t xml:space="preserve"> gender-responsive climate action</w:t>
            </w:r>
            <w:r w:rsidR="0035306C">
              <w:rPr>
                <w:rFonts w:eastAsia="Calibri" w:cs="Arial"/>
              </w:rPr>
              <w:t>s</w:t>
            </w:r>
            <w:r w:rsidR="37E1D18E" w:rsidRPr="37E1D18E">
              <w:rPr>
                <w:rFonts w:eastAsia="Calibri" w:cs="Arial"/>
              </w:rPr>
              <w:t xml:space="preserve">. As well, </w:t>
            </w:r>
            <w:r w:rsidR="00B911FB">
              <w:rPr>
                <w:rFonts w:eastAsia="Calibri" w:cs="Arial"/>
              </w:rPr>
              <w:t>the</w:t>
            </w:r>
            <w:r>
              <w:rPr>
                <w:rFonts w:eastAsia="Calibri" w:cs="Arial"/>
              </w:rPr>
              <w:t xml:space="preserve">y </w:t>
            </w:r>
            <w:r w:rsidR="00B911FB">
              <w:rPr>
                <w:rFonts w:eastAsia="Calibri" w:cs="Arial"/>
              </w:rPr>
              <w:t>emphasized</w:t>
            </w:r>
            <w:r w:rsidR="37E1D18E" w:rsidRPr="37E1D18E">
              <w:rPr>
                <w:rFonts w:eastAsia="Calibri" w:cs="Arial"/>
              </w:rPr>
              <w:t xml:space="preserve"> the role that informal networks among women parliamentarians can play in advancing discussions on </w:t>
            </w:r>
            <w:r w:rsidR="0015172B">
              <w:rPr>
                <w:rFonts w:eastAsia="Calibri" w:cs="Arial"/>
              </w:rPr>
              <w:t>the meeting’s theme</w:t>
            </w:r>
            <w:r w:rsidR="000F3F15">
              <w:rPr>
                <w:rFonts w:eastAsia="Calibri" w:cs="Arial"/>
              </w:rPr>
              <w:t>.</w:t>
            </w:r>
            <w:r w:rsidR="37E1D18E" w:rsidRPr="37E1D18E">
              <w:rPr>
                <w:rFonts w:eastAsia="Calibri" w:cs="Arial"/>
              </w:rPr>
              <w:t xml:space="preserve"> </w:t>
            </w:r>
            <w:r>
              <w:rPr>
                <w:rFonts w:eastAsia="Calibri" w:cs="Arial"/>
              </w:rPr>
              <w:t>Finally, c</w:t>
            </w:r>
            <w:r w:rsidR="00813638">
              <w:rPr>
                <w:rFonts w:eastAsia="Calibri" w:cs="Arial"/>
              </w:rPr>
              <w:t>oncerning Russia’s most recent invasion of Ukraine</w:t>
            </w:r>
            <w:r w:rsidR="00B911FB">
              <w:rPr>
                <w:rFonts w:eastAsia="Calibri" w:cs="Arial"/>
              </w:rPr>
              <w:t>,</w:t>
            </w:r>
            <w:r w:rsidR="37E1D18E" w:rsidRPr="37E1D18E">
              <w:rPr>
                <w:rFonts w:eastAsia="Calibri" w:cs="Arial"/>
              </w:rPr>
              <w:t xml:space="preserve"> </w:t>
            </w:r>
            <w:r w:rsidR="00B911FB">
              <w:rPr>
                <w:rFonts w:eastAsia="Calibri" w:cs="Arial"/>
              </w:rPr>
              <w:t>they</w:t>
            </w:r>
            <w:r>
              <w:rPr>
                <w:rFonts w:eastAsia="Calibri" w:cs="Arial"/>
              </w:rPr>
              <w:t xml:space="preserve"> </w:t>
            </w:r>
            <w:r w:rsidR="00B911FB">
              <w:rPr>
                <w:rFonts w:eastAsia="Calibri" w:cs="Arial"/>
              </w:rPr>
              <w:t>expressed their</w:t>
            </w:r>
            <w:r w:rsidR="00B911FB" w:rsidRPr="37E1D18E">
              <w:rPr>
                <w:rFonts w:eastAsia="Calibri" w:cs="Arial"/>
              </w:rPr>
              <w:t xml:space="preserve"> </w:t>
            </w:r>
            <w:r w:rsidR="37E1D18E" w:rsidRPr="37E1D18E">
              <w:rPr>
                <w:rFonts w:eastAsia="Calibri" w:cs="Arial"/>
              </w:rPr>
              <w:t>solidarity with Ukraine’s women parliamentarians.</w:t>
            </w:r>
          </w:p>
        </w:tc>
      </w:tr>
    </w:tbl>
    <w:p w14:paraId="424C7B81" w14:textId="77777777" w:rsidR="003D46DB" w:rsidRPr="003D46DB" w:rsidRDefault="003D46DB" w:rsidP="00483A66"/>
    <w:sectPr w:rsidR="003D46DB" w:rsidRPr="003D46DB" w:rsidSect="00E84A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0FD0" w14:textId="77777777" w:rsidR="009D5358" w:rsidRDefault="009D5358" w:rsidP="0012377A">
      <w:pPr>
        <w:spacing w:after="0" w:line="240" w:lineRule="auto"/>
      </w:pPr>
      <w:r>
        <w:separator/>
      </w:r>
    </w:p>
  </w:endnote>
  <w:endnote w:type="continuationSeparator" w:id="0">
    <w:p w14:paraId="1FDD3354" w14:textId="77777777" w:rsidR="009D5358" w:rsidRDefault="009D5358" w:rsidP="001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FF6F" w14:textId="77777777" w:rsidR="0012377A" w:rsidRDefault="00123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144A" w14:textId="77777777" w:rsidR="0012377A" w:rsidRDefault="00123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C48" w14:textId="77777777" w:rsidR="0012377A" w:rsidRDefault="0012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2D3C" w14:textId="77777777" w:rsidR="009D5358" w:rsidRDefault="009D5358" w:rsidP="0012377A">
      <w:pPr>
        <w:spacing w:after="0" w:line="240" w:lineRule="auto"/>
      </w:pPr>
      <w:r>
        <w:separator/>
      </w:r>
    </w:p>
  </w:footnote>
  <w:footnote w:type="continuationSeparator" w:id="0">
    <w:p w14:paraId="37E924E4" w14:textId="77777777" w:rsidR="009D5358" w:rsidRDefault="009D5358" w:rsidP="0012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166F" w14:textId="77777777" w:rsidR="0012377A" w:rsidRDefault="00123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E49" w14:textId="77777777" w:rsidR="0012377A" w:rsidRDefault="00123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D9AB" w14:textId="77777777" w:rsidR="0012377A" w:rsidRDefault="00123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0998"/>
    <w:multiLevelType w:val="hybridMultilevel"/>
    <w:tmpl w:val="0A304B82"/>
    <w:lvl w:ilvl="0" w:tplc="F7F6257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4765D48"/>
    <w:multiLevelType w:val="multilevel"/>
    <w:tmpl w:val="D4ECD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17DE"/>
    <w:multiLevelType w:val="multilevel"/>
    <w:tmpl w:val="CBAE8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A748C"/>
    <w:multiLevelType w:val="hybridMultilevel"/>
    <w:tmpl w:val="0A304B82"/>
    <w:lvl w:ilvl="0" w:tplc="F7F6257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E495A08"/>
    <w:multiLevelType w:val="hybridMultilevel"/>
    <w:tmpl w:val="E954FB86"/>
    <w:lvl w:ilvl="0" w:tplc="0A7A6840">
      <w:start w:val="57"/>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E17DB0"/>
    <w:multiLevelType w:val="multilevel"/>
    <w:tmpl w:val="3E9A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5"/>
    <w:rsid w:val="00004237"/>
    <w:rsid w:val="000108A9"/>
    <w:rsid w:val="000153D8"/>
    <w:rsid w:val="00020474"/>
    <w:rsid w:val="00020946"/>
    <w:rsid w:val="00026707"/>
    <w:rsid w:val="00033668"/>
    <w:rsid w:val="000421A8"/>
    <w:rsid w:val="00043711"/>
    <w:rsid w:val="00044B2B"/>
    <w:rsid w:val="00050E4E"/>
    <w:rsid w:val="00051CC9"/>
    <w:rsid w:val="00054585"/>
    <w:rsid w:val="00070345"/>
    <w:rsid w:val="00087705"/>
    <w:rsid w:val="000B068C"/>
    <w:rsid w:val="000B5944"/>
    <w:rsid w:val="000D2977"/>
    <w:rsid w:val="000D36FF"/>
    <w:rsid w:val="000E052D"/>
    <w:rsid w:val="000E2085"/>
    <w:rsid w:val="000F3F15"/>
    <w:rsid w:val="001046B6"/>
    <w:rsid w:val="0010709D"/>
    <w:rsid w:val="001074DA"/>
    <w:rsid w:val="00107FCD"/>
    <w:rsid w:val="001153DF"/>
    <w:rsid w:val="0012377A"/>
    <w:rsid w:val="00126FBD"/>
    <w:rsid w:val="001279DF"/>
    <w:rsid w:val="00134A1A"/>
    <w:rsid w:val="0013644B"/>
    <w:rsid w:val="00137815"/>
    <w:rsid w:val="0014113D"/>
    <w:rsid w:val="00141D0A"/>
    <w:rsid w:val="001466AB"/>
    <w:rsid w:val="00147E64"/>
    <w:rsid w:val="0015172B"/>
    <w:rsid w:val="00154816"/>
    <w:rsid w:val="001700C5"/>
    <w:rsid w:val="00174D39"/>
    <w:rsid w:val="00184B72"/>
    <w:rsid w:val="00190020"/>
    <w:rsid w:val="00190814"/>
    <w:rsid w:val="00190C72"/>
    <w:rsid w:val="00192D6E"/>
    <w:rsid w:val="00193F64"/>
    <w:rsid w:val="001975D1"/>
    <w:rsid w:val="001B4F84"/>
    <w:rsid w:val="001B68B4"/>
    <w:rsid w:val="001C7371"/>
    <w:rsid w:val="001D5928"/>
    <w:rsid w:val="001E4CCA"/>
    <w:rsid w:val="001E7664"/>
    <w:rsid w:val="001F3CE2"/>
    <w:rsid w:val="00205A89"/>
    <w:rsid w:val="00206AE0"/>
    <w:rsid w:val="00207FAB"/>
    <w:rsid w:val="00210735"/>
    <w:rsid w:val="00210AFD"/>
    <w:rsid w:val="00211766"/>
    <w:rsid w:val="00214A69"/>
    <w:rsid w:val="00230D3A"/>
    <w:rsid w:val="0023593A"/>
    <w:rsid w:val="00242335"/>
    <w:rsid w:val="002452CC"/>
    <w:rsid w:val="00261CF5"/>
    <w:rsid w:val="0028186C"/>
    <w:rsid w:val="00292FFD"/>
    <w:rsid w:val="00293F57"/>
    <w:rsid w:val="00295B20"/>
    <w:rsid w:val="00297B9E"/>
    <w:rsid w:val="002A14EB"/>
    <w:rsid w:val="002B60E0"/>
    <w:rsid w:val="002B7231"/>
    <w:rsid w:val="002C2328"/>
    <w:rsid w:val="002C3EB8"/>
    <w:rsid w:val="002C68A0"/>
    <w:rsid w:val="002D0452"/>
    <w:rsid w:val="002D0C94"/>
    <w:rsid w:val="002D2BED"/>
    <w:rsid w:val="002D483B"/>
    <w:rsid w:val="002D4E02"/>
    <w:rsid w:val="002D7A85"/>
    <w:rsid w:val="002E4938"/>
    <w:rsid w:val="002E71CE"/>
    <w:rsid w:val="002E7EA6"/>
    <w:rsid w:val="00304DCE"/>
    <w:rsid w:val="00310DB8"/>
    <w:rsid w:val="0031105D"/>
    <w:rsid w:val="00313A4C"/>
    <w:rsid w:val="00315C10"/>
    <w:rsid w:val="003175CA"/>
    <w:rsid w:val="003264E6"/>
    <w:rsid w:val="003326C9"/>
    <w:rsid w:val="00334174"/>
    <w:rsid w:val="00336015"/>
    <w:rsid w:val="0034309D"/>
    <w:rsid w:val="0035306C"/>
    <w:rsid w:val="00353573"/>
    <w:rsid w:val="003617FC"/>
    <w:rsid w:val="003629A5"/>
    <w:rsid w:val="00366908"/>
    <w:rsid w:val="00371209"/>
    <w:rsid w:val="00381FFB"/>
    <w:rsid w:val="00392FE0"/>
    <w:rsid w:val="003A22B8"/>
    <w:rsid w:val="003A7FB5"/>
    <w:rsid w:val="003B7BA5"/>
    <w:rsid w:val="003D46DB"/>
    <w:rsid w:val="003D4E89"/>
    <w:rsid w:val="003F68FE"/>
    <w:rsid w:val="004100C5"/>
    <w:rsid w:val="004138B3"/>
    <w:rsid w:val="00414308"/>
    <w:rsid w:val="004233B7"/>
    <w:rsid w:val="004309DC"/>
    <w:rsid w:val="00436CE4"/>
    <w:rsid w:val="00446E5E"/>
    <w:rsid w:val="004735B0"/>
    <w:rsid w:val="004751DF"/>
    <w:rsid w:val="004838A6"/>
    <w:rsid w:val="00483A66"/>
    <w:rsid w:val="00484A48"/>
    <w:rsid w:val="004908EF"/>
    <w:rsid w:val="004974C0"/>
    <w:rsid w:val="004A02A3"/>
    <w:rsid w:val="004B3CCA"/>
    <w:rsid w:val="004B3D4B"/>
    <w:rsid w:val="004C6DA6"/>
    <w:rsid w:val="004D1731"/>
    <w:rsid w:val="004E198A"/>
    <w:rsid w:val="004F1C5D"/>
    <w:rsid w:val="004F709B"/>
    <w:rsid w:val="00510925"/>
    <w:rsid w:val="00516D9D"/>
    <w:rsid w:val="00520B26"/>
    <w:rsid w:val="005214AB"/>
    <w:rsid w:val="00524A91"/>
    <w:rsid w:val="0052605E"/>
    <w:rsid w:val="005267C8"/>
    <w:rsid w:val="00527A42"/>
    <w:rsid w:val="00533279"/>
    <w:rsid w:val="00537E58"/>
    <w:rsid w:val="005402F6"/>
    <w:rsid w:val="0054118F"/>
    <w:rsid w:val="00544C85"/>
    <w:rsid w:val="00550BFE"/>
    <w:rsid w:val="005539FF"/>
    <w:rsid w:val="0055718C"/>
    <w:rsid w:val="00560064"/>
    <w:rsid w:val="00572E53"/>
    <w:rsid w:val="00590DD3"/>
    <w:rsid w:val="00593484"/>
    <w:rsid w:val="00593552"/>
    <w:rsid w:val="00593DD3"/>
    <w:rsid w:val="005A6DEA"/>
    <w:rsid w:val="005B3345"/>
    <w:rsid w:val="005B61D7"/>
    <w:rsid w:val="005B7FA2"/>
    <w:rsid w:val="005C5C06"/>
    <w:rsid w:val="005C6F99"/>
    <w:rsid w:val="005C7358"/>
    <w:rsid w:val="005D113F"/>
    <w:rsid w:val="005D41BA"/>
    <w:rsid w:val="005D6B8B"/>
    <w:rsid w:val="005E0A34"/>
    <w:rsid w:val="005F004F"/>
    <w:rsid w:val="0060447B"/>
    <w:rsid w:val="0062714D"/>
    <w:rsid w:val="006272E2"/>
    <w:rsid w:val="00634625"/>
    <w:rsid w:val="00634D22"/>
    <w:rsid w:val="00637430"/>
    <w:rsid w:val="006403BE"/>
    <w:rsid w:val="006403CE"/>
    <w:rsid w:val="00641138"/>
    <w:rsid w:val="00642C0F"/>
    <w:rsid w:val="00644583"/>
    <w:rsid w:val="00651E0A"/>
    <w:rsid w:val="006567CA"/>
    <w:rsid w:val="00664560"/>
    <w:rsid w:val="006656F8"/>
    <w:rsid w:val="006831EE"/>
    <w:rsid w:val="00687BE0"/>
    <w:rsid w:val="006A7552"/>
    <w:rsid w:val="006B4512"/>
    <w:rsid w:val="006C3772"/>
    <w:rsid w:val="006C410F"/>
    <w:rsid w:val="006D307E"/>
    <w:rsid w:val="006D4EBC"/>
    <w:rsid w:val="006E655A"/>
    <w:rsid w:val="006E6F5D"/>
    <w:rsid w:val="006F475E"/>
    <w:rsid w:val="006F733E"/>
    <w:rsid w:val="0071188D"/>
    <w:rsid w:val="00711BB1"/>
    <w:rsid w:val="0073146E"/>
    <w:rsid w:val="007316A0"/>
    <w:rsid w:val="00733E22"/>
    <w:rsid w:val="00734835"/>
    <w:rsid w:val="007379DF"/>
    <w:rsid w:val="00754F9C"/>
    <w:rsid w:val="00757539"/>
    <w:rsid w:val="00760B69"/>
    <w:rsid w:val="00762348"/>
    <w:rsid w:val="007853CB"/>
    <w:rsid w:val="00787BFC"/>
    <w:rsid w:val="00793920"/>
    <w:rsid w:val="007A4748"/>
    <w:rsid w:val="007B11A2"/>
    <w:rsid w:val="007B69FA"/>
    <w:rsid w:val="007D15F5"/>
    <w:rsid w:val="007D538F"/>
    <w:rsid w:val="007D6386"/>
    <w:rsid w:val="007E06BB"/>
    <w:rsid w:val="007E13AD"/>
    <w:rsid w:val="007E35F3"/>
    <w:rsid w:val="007F6010"/>
    <w:rsid w:val="007F7C5F"/>
    <w:rsid w:val="00800D06"/>
    <w:rsid w:val="00801A76"/>
    <w:rsid w:val="00813638"/>
    <w:rsid w:val="00823CED"/>
    <w:rsid w:val="00831E4D"/>
    <w:rsid w:val="0083209E"/>
    <w:rsid w:val="00832B13"/>
    <w:rsid w:val="008356C0"/>
    <w:rsid w:val="00836D68"/>
    <w:rsid w:val="0084206A"/>
    <w:rsid w:val="0084372E"/>
    <w:rsid w:val="0085679D"/>
    <w:rsid w:val="00864C7D"/>
    <w:rsid w:val="00865C5D"/>
    <w:rsid w:val="00867C16"/>
    <w:rsid w:val="008711AB"/>
    <w:rsid w:val="00880CEE"/>
    <w:rsid w:val="0088438A"/>
    <w:rsid w:val="00886190"/>
    <w:rsid w:val="008A5B6C"/>
    <w:rsid w:val="008A64B5"/>
    <w:rsid w:val="008C0DFF"/>
    <w:rsid w:val="008C34C9"/>
    <w:rsid w:val="008D3D8A"/>
    <w:rsid w:val="008E29D3"/>
    <w:rsid w:val="008E77FE"/>
    <w:rsid w:val="008F0CD1"/>
    <w:rsid w:val="0090280A"/>
    <w:rsid w:val="00902E12"/>
    <w:rsid w:val="009152BE"/>
    <w:rsid w:val="009234FD"/>
    <w:rsid w:val="009272BB"/>
    <w:rsid w:val="00931B1E"/>
    <w:rsid w:val="0094266F"/>
    <w:rsid w:val="00942C21"/>
    <w:rsid w:val="00942CCD"/>
    <w:rsid w:val="009579D2"/>
    <w:rsid w:val="009711DD"/>
    <w:rsid w:val="00987263"/>
    <w:rsid w:val="009A4F48"/>
    <w:rsid w:val="009B3140"/>
    <w:rsid w:val="009B4454"/>
    <w:rsid w:val="009C4872"/>
    <w:rsid w:val="009C6A3A"/>
    <w:rsid w:val="009C712D"/>
    <w:rsid w:val="009D30AD"/>
    <w:rsid w:val="009D3CC0"/>
    <w:rsid w:val="009D5358"/>
    <w:rsid w:val="009D600E"/>
    <w:rsid w:val="009E5FCC"/>
    <w:rsid w:val="009F14B4"/>
    <w:rsid w:val="009F3443"/>
    <w:rsid w:val="009F5DD2"/>
    <w:rsid w:val="009F6307"/>
    <w:rsid w:val="00A0180E"/>
    <w:rsid w:val="00A111EF"/>
    <w:rsid w:val="00A11866"/>
    <w:rsid w:val="00A119C9"/>
    <w:rsid w:val="00A16317"/>
    <w:rsid w:val="00A21125"/>
    <w:rsid w:val="00A23571"/>
    <w:rsid w:val="00A43A29"/>
    <w:rsid w:val="00A47501"/>
    <w:rsid w:val="00A6336B"/>
    <w:rsid w:val="00A63918"/>
    <w:rsid w:val="00A64899"/>
    <w:rsid w:val="00A748FE"/>
    <w:rsid w:val="00A86C50"/>
    <w:rsid w:val="00A87E11"/>
    <w:rsid w:val="00A92A65"/>
    <w:rsid w:val="00A9566A"/>
    <w:rsid w:val="00AA5300"/>
    <w:rsid w:val="00AA6D13"/>
    <w:rsid w:val="00AA7F04"/>
    <w:rsid w:val="00AB2839"/>
    <w:rsid w:val="00AB7033"/>
    <w:rsid w:val="00AC44A9"/>
    <w:rsid w:val="00AE2C08"/>
    <w:rsid w:val="00AF3302"/>
    <w:rsid w:val="00AF6639"/>
    <w:rsid w:val="00AF7780"/>
    <w:rsid w:val="00B0416A"/>
    <w:rsid w:val="00B14509"/>
    <w:rsid w:val="00B14B63"/>
    <w:rsid w:val="00B179B4"/>
    <w:rsid w:val="00B20438"/>
    <w:rsid w:val="00B23276"/>
    <w:rsid w:val="00B25C16"/>
    <w:rsid w:val="00B365A8"/>
    <w:rsid w:val="00B419F7"/>
    <w:rsid w:val="00B456A2"/>
    <w:rsid w:val="00B71B8A"/>
    <w:rsid w:val="00B736A4"/>
    <w:rsid w:val="00B81BBF"/>
    <w:rsid w:val="00B852C3"/>
    <w:rsid w:val="00B911FB"/>
    <w:rsid w:val="00B934F2"/>
    <w:rsid w:val="00BA4413"/>
    <w:rsid w:val="00BB2E60"/>
    <w:rsid w:val="00BC013E"/>
    <w:rsid w:val="00BD0EF4"/>
    <w:rsid w:val="00BE6EE2"/>
    <w:rsid w:val="00BF1FC7"/>
    <w:rsid w:val="00BF618A"/>
    <w:rsid w:val="00C16B8C"/>
    <w:rsid w:val="00C22DA6"/>
    <w:rsid w:val="00C24698"/>
    <w:rsid w:val="00C248EC"/>
    <w:rsid w:val="00C3153E"/>
    <w:rsid w:val="00C3689F"/>
    <w:rsid w:val="00C3695C"/>
    <w:rsid w:val="00C41565"/>
    <w:rsid w:val="00C44778"/>
    <w:rsid w:val="00C51349"/>
    <w:rsid w:val="00C6062B"/>
    <w:rsid w:val="00C62B91"/>
    <w:rsid w:val="00C65BB1"/>
    <w:rsid w:val="00C70A85"/>
    <w:rsid w:val="00C771DC"/>
    <w:rsid w:val="00C77268"/>
    <w:rsid w:val="00C849E8"/>
    <w:rsid w:val="00C85E43"/>
    <w:rsid w:val="00C919C1"/>
    <w:rsid w:val="00C9252A"/>
    <w:rsid w:val="00C94F2C"/>
    <w:rsid w:val="00C951F1"/>
    <w:rsid w:val="00CA4EC5"/>
    <w:rsid w:val="00CB4BD1"/>
    <w:rsid w:val="00CB5EBA"/>
    <w:rsid w:val="00CC7AAD"/>
    <w:rsid w:val="00CD004D"/>
    <w:rsid w:val="00CD1E5C"/>
    <w:rsid w:val="00CD4B30"/>
    <w:rsid w:val="00CD6A27"/>
    <w:rsid w:val="00CD6F96"/>
    <w:rsid w:val="00CE0171"/>
    <w:rsid w:val="00CE2A42"/>
    <w:rsid w:val="00CF1986"/>
    <w:rsid w:val="00D03861"/>
    <w:rsid w:val="00D05E36"/>
    <w:rsid w:val="00D10E8A"/>
    <w:rsid w:val="00D15F8D"/>
    <w:rsid w:val="00D23E7E"/>
    <w:rsid w:val="00D27708"/>
    <w:rsid w:val="00D42FBE"/>
    <w:rsid w:val="00D50C63"/>
    <w:rsid w:val="00D57F44"/>
    <w:rsid w:val="00D6156D"/>
    <w:rsid w:val="00D650A1"/>
    <w:rsid w:val="00D7622F"/>
    <w:rsid w:val="00D774A0"/>
    <w:rsid w:val="00D77D7D"/>
    <w:rsid w:val="00D84E02"/>
    <w:rsid w:val="00D90621"/>
    <w:rsid w:val="00DA0BA7"/>
    <w:rsid w:val="00DB7684"/>
    <w:rsid w:val="00DD6371"/>
    <w:rsid w:val="00DE4471"/>
    <w:rsid w:val="00DE5031"/>
    <w:rsid w:val="00DE7F76"/>
    <w:rsid w:val="00E070FE"/>
    <w:rsid w:val="00E15498"/>
    <w:rsid w:val="00E360FF"/>
    <w:rsid w:val="00E408E3"/>
    <w:rsid w:val="00E42D7D"/>
    <w:rsid w:val="00E438FA"/>
    <w:rsid w:val="00E50BFA"/>
    <w:rsid w:val="00E53CE9"/>
    <w:rsid w:val="00E55D5E"/>
    <w:rsid w:val="00E56A8B"/>
    <w:rsid w:val="00E6660F"/>
    <w:rsid w:val="00E67D48"/>
    <w:rsid w:val="00E74737"/>
    <w:rsid w:val="00E84AE7"/>
    <w:rsid w:val="00E87032"/>
    <w:rsid w:val="00EA07BA"/>
    <w:rsid w:val="00EA4928"/>
    <w:rsid w:val="00EA4F03"/>
    <w:rsid w:val="00EB7A0E"/>
    <w:rsid w:val="00EC1135"/>
    <w:rsid w:val="00EC18BE"/>
    <w:rsid w:val="00EC2205"/>
    <w:rsid w:val="00EC532A"/>
    <w:rsid w:val="00ED627E"/>
    <w:rsid w:val="00EE7FE6"/>
    <w:rsid w:val="00EF401D"/>
    <w:rsid w:val="00EF4CF6"/>
    <w:rsid w:val="00F01D2F"/>
    <w:rsid w:val="00F0395A"/>
    <w:rsid w:val="00F04D64"/>
    <w:rsid w:val="00F208C6"/>
    <w:rsid w:val="00F34236"/>
    <w:rsid w:val="00F35525"/>
    <w:rsid w:val="00F35FDD"/>
    <w:rsid w:val="00F466D0"/>
    <w:rsid w:val="00F46765"/>
    <w:rsid w:val="00F553B0"/>
    <w:rsid w:val="00F55888"/>
    <w:rsid w:val="00F60C92"/>
    <w:rsid w:val="00F62DD0"/>
    <w:rsid w:val="00F74399"/>
    <w:rsid w:val="00F75659"/>
    <w:rsid w:val="00F77C25"/>
    <w:rsid w:val="00F801C4"/>
    <w:rsid w:val="00F906DB"/>
    <w:rsid w:val="00FA623F"/>
    <w:rsid w:val="00FB75A6"/>
    <w:rsid w:val="00FC51F3"/>
    <w:rsid w:val="00FC6A98"/>
    <w:rsid w:val="00FD063D"/>
    <w:rsid w:val="00FD49A4"/>
    <w:rsid w:val="00FE7C79"/>
    <w:rsid w:val="00FF1403"/>
    <w:rsid w:val="01D7CA35"/>
    <w:rsid w:val="0204C4D3"/>
    <w:rsid w:val="027305EB"/>
    <w:rsid w:val="027E19A4"/>
    <w:rsid w:val="04949FE2"/>
    <w:rsid w:val="084345B9"/>
    <w:rsid w:val="08E8E864"/>
    <w:rsid w:val="0F6098BB"/>
    <w:rsid w:val="100B9034"/>
    <w:rsid w:val="109D8082"/>
    <w:rsid w:val="10FE5292"/>
    <w:rsid w:val="1297E31E"/>
    <w:rsid w:val="12F0265E"/>
    <w:rsid w:val="13D52144"/>
    <w:rsid w:val="14658502"/>
    <w:rsid w:val="1570F1A5"/>
    <w:rsid w:val="19BCB624"/>
    <w:rsid w:val="1D8B630F"/>
    <w:rsid w:val="1E406B1B"/>
    <w:rsid w:val="206A7F78"/>
    <w:rsid w:val="22C61896"/>
    <w:rsid w:val="2379E815"/>
    <w:rsid w:val="243F68B1"/>
    <w:rsid w:val="2515B876"/>
    <w:rsid w:val="25AC8B0D"/>
    <w:rsid w:val="2607D1ED"/>
    <w:rsid w:val="26D9C0FC"/>
    <w:rsid w:val="28912137"/>
    <w:rsid w:val="299B341B"/>
    <w:rsid w:val="2A19F059"/>
    <w:rsid w:val="2AD3BB2C"/>
    <w:rsid w:val="2B95F338"/>
    <w:rsid w:val="2D1C5E58"/>
    <w:rsid w:val="2FADE9EA"/>
    <w:rsid w:val="30E62239"/>
    <w:rsid w:val="30FC722A"/>
    <w:rsid w:val="31A462AC"/>
    <w:rsid w:val="3340330D"/>
    <w:rsid w:val="339520F9"/>
    <w:rsid w:val="345456CA"/>
    <w:rsid w:val="35236685"/>
    <w:rsid w:val="353A6ABB"/>
    <w:rsid w:val="35F0272B"/>
    <w:rsid w:val="36423C65"/>
    <w:rsid w:val="378BF78C"/>
    <w:rsid w:val="37CA7F5C"/>
    <w:rsid w:val="37E1D18E"/>
    <w:rsid w:val="38C3128A"/>
    <w:rsid w:val="38D80BC1"/>
    <w:rsid w:val="3A73DC22"/>
    <w:rsid w:val="3BC7B6E5"/>
    <w:rsid w:val="3C6B580A"/>
    <w:rsid w:val="3E6F50AD"/>
    <w:rsid w:val="3EEEFC03"/>
    <w:rsid w:val="41818764"/>
    <w:rsid w:val="431D57C5"/>
    <w:rsid w:val="44FA14BE"/>
    <w:rsid w:val="49634B2A"/>
    <w:rsid w:val="4C9A6A9F"/>
    <w:rsid w:val="4E25D133"/>
    <w:rsid w:val="516DDBC2"/>
    <w:rsid w:val="51C24AD0"/>
    <w:rsid w:val="52F4F68A"/>
    <w:rsid w:val="54B62393"/>
    <w:rsid w:val="55498EDE"/>
    <w:rsid w:val="55A9E686"/>
    <w:rsid w:val="563DC7D1"/>
    <w:rsid w:val="5651F3F4"/>
    <w:rsid w:val="57B80C4F"/>
    <w:rsid w:val="58D552FD"/>
    <w:rsid w:val="5B1D2CDB"/>
    <w:rsid w:val="633A8BE1"/>
    <w:rsid w:val="64D65C42"/>
    <w:rsid w:val="6852092D"/>
    <w:rsid w:val="68AE1254"/>
    <w:rsid w:val="6905D7F7"/>
    <w:rsid w:val="691129CE"/>
    <w:rsid w:val="696A44A4"/>
    <w:rsid w:val="6A49E2B5"/>
    <w:rsid w:val="6ACC5EDA"/>
    <w:rsid w:val="6B7FA73F"/>
    <w:rsid w:val="6BE5B316"/>
    <w:rsid w:val="6BFBD036"/>
    <w:rsid w:val="720DFAD5"/>
    <w:rsid w:val="729022B1"/>
    <w:rsid w:val="7369022C"/>
    <w:rsid w:val="75B4CD81"/>
    <w:rsid w:val="76932703"/>
    <w:rsid w:val="76B29CC1"/>
    <w:rsid w:val="7760C3A4"/>
    <w:rsid w:val="78D52F5C"/>
    <w:rsid w:val="78EBECF6"/>
    <w:rsid w:val="79FCAD2C"/>
    <w:rsid w:val="7A6EBFE8"/>
    <w:rsid w:val="7B9BB4BE"/>
    <w:rsid w:val="7DD00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0F54"/>
  <w15:docId w15:val="{DC043A6A-FE74-4486-8C6F-73A9642E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A9"/>
    <w:rPr>
      <w:rFonts w:ascii="Arial" w:hAnsi="Arial"/>
    </w:rPr>
  </w:style>
  <w:style w:type="paragraph" w:styleId="Heading1">
    <w:name w:val="heading 1"/>
    <w:basedOn w:val="Normal"/>
    <w:next w:val="Normal"/>
    <w:link w:val="Heading1Char"/>
    <w:uiPriority w:val="9"/>
    <w:qFormat/>
    <w:rsid w:val="00483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70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6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D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709B"/>
    <w:rPr>
      <w:rFonts w:asciiTheme="majorHAnsi" w:eastAsiaTheme="majorEastAsia" w:hAnsiTheme="majorHAnsi" w:cstheme="majorBidi"/>
      <w:b/>
      <w:bCs/>
      <w:color w:val="4F81BD" w:themeColor="accent1"/>
      <w:sz w:val="26"/>
      <w:szCs w:val="26"/>
    </w:rPr>
  </w:style>
  <w:style w:type="paragraph" w:customStyle="1" w:styleId="Default">
    <w:name w:val="Default"/>
    <w:rsid w:val="004F709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F709B"/>
    <w:rPr>
      <w:color w:val="0000FF" w:themeColor="hyperlink"/>
      <w:u w:val="single"/>
    </w:rPr>
  </w:style>
  <w:style w:type="paragraph" w:styleId="ListParagraph">
    <w:name w:val="List Paragraph"/>
    <w:basedOn w:val="Normal"/>
    <w:uiPriority w:val="34"/>
    <w:qFormat/>
    <w:rsid w:val="009F14B4"/>
    <w:pPr>
      <w:ind w:left="720"/>
      <w:contextualSpacing/>
    </w:pPr>
  </w:style>
  <w:style w:type="character" w:styleId="UnresolvedMention">
    <w:name w:val="Unresolved Mention"/>
    <w:basedOn w:val="DefaultParagraphFont"/>
    <w:uiPriority w:val="99"/>
    <w:semiHidden/>
    <w:unhideWhenUsed/>
    <w:rsid w:val="00D57F44"/>
    <w:rPr>
      <w:color w:val="605E5C"/>
      <w:shd w:val="clear" w:color="auto" w:fill="E1DFDD"/>
    </w:rPr>
  </w:style>
  <w:style w:type="character" w:styleId="FollowedHyperlink">
    <w:name w:val="FollowedHyperlink"/>
    <w:basedOn w:val="DefaultParagraphFont"/>
    <w:uiPriority w:val="99"/>
    <w:semiHidden/>
    <w:unhideWhenUsed/>
    <w:rsid w:val="00634625"/>
    <w:rPr>
      <w:color w:val="800080" w:themeColor="followedHyperlink"/>
      <w:u w:val="single"/>
    </w:rPr>
  </w:style>
  <w:style w:type="character" w:styleId="CommentReference">
    <w:name w:val="annotation reference"/>
    <w:basedOn w:val="DefaultParagraphFont"/>
    <w:uiPriority w:val="99"/>
    <w:semiHidden/>
    <w:unhideWhenUsed/>
    <w:rsid w:val="006F475E"/>
    <w:rPr>
      <w:sz w:val="16"/>
      <w:szCs w:val="16"/>
    </w:rPr>
  </w:style>
  <w:style w:type="paragraph" w:styleId="CommentText">
    <w:name w:val="annotation text"/>
    <w:basedOn w:val="Normal"/>
    <w:link w:val="CommentTextChar"/>
    <w:uiPriority w:val="99"/>
    <w:semiHidden/>
    <w:unhideWhenUsed/>
    <w:rsid w:val="006F475E"/>
    <w:pPr>
      <w:spacing w:line="240" w:lineRule="auto"/>
    </w:pPr>
    <w:rPr>
      <w:sz w:val="20"/>
      <w:szCs w:val="20"/>
    </w:rPr>
  </w:style>
  <w:style w:type="character" w:customStyle="1" w:styleId="CommentTextChar">
    <w:name w:val="Comment Text Char"/>
    <w:basedOn w:val="DefaultParagraphFont"/>
    <w:link w:val="CommentText"/>
    <w:uiPriority w:val="99"/>
    <w:semiHidden/>
    <w:rsid w:val="006F47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475E"/>
    <w:rPr>
      <w:b/>
      <w:bCs/>
    </w:rPr>
  </w:style>
  <w:style w:type="character" w:customStyle="1" w:styleId="CommentSubjectChar">
    <w:name w:val="Comment Subject Char"/>
    <w:basedOn w:val="CommentTextChar"/>
    <w:link w:val="CommentSubject"/>
    <w:uiPriority w:val="99"/>
    <w:semiHidden/>
    <w:rsid w:val="006F475E"/>
    <w:rPr>
      <w:rFonts w:ascii="Arial" w:hAnsi="Arial"/>
      <w:b/>
      <w:bCs/>
      <w:sz w:val="20"/>
      <w:szCs w:val="20"/>
    </w:rPr>
  </w:style>
  <w:style w:type="paragraph" w:styleId="BalloonText">
    <w:name w:val="Balloon Text"/>
    <w:basedOn w:val="Normal"/>
    <w:link w:val="BalloonTextChar"/>
    <w:uiPriority w:val="99"/>
    <w:semiHidden/>
    <w:unhideWhenUsed/>
    <w:rsid w:val="006F4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5E"/>
    <w:rPr>
      <w:rFonts w:ascii="Segoe UI" w:hAnsi="Segoe UI" w:cs="Segoe UI"/>
      <w:sz w:val="18"/>
      <w:szCs w:val="18"/>
    </w:rPr>
  </w:style>
  <w:style w:type="paragraph" w:styleId="NormalWeb">
    <w:name w:val="Normal (Web)"/>
    <w:basedOn w:val="Normal"/>
    <w:uiPriority w:val="99"/>
    <w:semiHidden/>
    <w:unhideWhenUsed/>
    <w:rsid w:val="004233B7"/>
    <w:rPr>
      <w:rFonts w:ascii="Times New Roman" w:hAnsi="Times New Roman" w:cs="Times New Roman"/>
      <w:sz w:val="24"/>
      <w:szCs w:val="24"/>
    </w:rPr>
  </w:style>
  <w:style w:type="paragraph" w:styleId="Revision">
    <w:name w:val="Revision"/>
    <w:hidden/>
    <w:uiPriority w:val="99"/>
    <w:semiHidden/>
    <w:rsid w:val="00EB7A0E"/>
    <w:pPr>
      <w:spacing w:after="0" w:line="240" w:lineRule="auto"/>
    </w:pPr>
    <w:rPr>
      <w:rFonts w:ascii="Arial" w:hAnsi="Arial"/>
    </w:rPr>
  </w:style>
  <w:style w:type="paragraph" w:styleId="Header">
    <w:name w:val="header"/>
    <w:basedOn w:val="Normal"/>
    <w:link w:val="HeaderChar"/>
    <w:uiPriority w:val="99"/>
    <w:unhideWhenUsed/>
    <w:rsid w:val="0012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77A"/>
    <w:rPr>
      <w:rFonts w:ascii="Arial" w:hAnsi="Arial"/>
    </w:rPr>
  </w:style>
  <w:style w:type="paragraph" w:styleId="Footer">
    <w:name w:val="footer"/>
    <w:basedOn w:val="Normal"/>
    <w:link w:val="FooterChar"/>
    <w:uiPriority w:val="99"/>
    <w:unhideWhenUsed/>
    <w:rsid w:val="0012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7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094">
      <w:bodyDiv w:val="1"/>
      <w:marLeft w:val="0"/>
      <w:marRight w:val="0"/>
      <w:marTop w:val="0"/>
      <w:marBottom w:val="0"/>
      <w:divBdr>
        <w:top w:val="none" w:sz="0" w:space="0" w:color="auto"/>
        <w:left w:val="none" w:sz="0" w:space="0" w:color="auto"/>
        <w:bottom w:val="none" w:sz="0" w:space="0" w:color="auto"/>
        <w:right w:val="none" w:sz="0" w:space="0" w:color="auto"/>
      </w:divBdr>
    </w:div>
    <w:div w:id="158810996">
      <w:bodyDiv w:val="1"/>
      <w:marLeft w:val="0"/>
      <w:marRight w:val="0"/>
      <w:marTop w:val="0"/>
      <w:marBottom w:val="0"/>
      <w:divBdr>
        <w:top w:val="none" w:sz="0" w:space="0" w:color="auto"/>
        <w:left w:val="none" w:sz="0" w:space="0" w:color="auto"/>
        <w:bottom w:val="none" w:sz="0" w:space="0" w:color="auto"/>
        <w:right w:val="none" w:sz="0" w:space="0" w:color="auto"/>
      </w:divBdr>
    </w:div>
    <w:div w:id="413010151">
      <w:bodyDiv w:val="1"/>
      <w:marLeft w:val="0"/>
      <w:marRight w:val="0"/>
      <w:marTop w:val="0"/>
      <w:marBottom w:val="0"/>
      <w:divBdr>
        <w:top w:val="none" w:sz="0" w:space="0" w:color="auto"/>
        <w:left w:val="none" w:sz="0" w:space="0" w:color="auto"/>
        <w:bottom w:val="none" w:sz="0" w:space="0" w:color="auto"/>
        <w:right w:val="none" w:sz="0" w:space="0" w:color="auto"/>
      </w:divBdr>
    </w:div>
    <w:div w:id="623850380">
      <w:bodyDiv w:val="1"/>
      <w:marLeft w:val="0"/>
      <w:marRight w:val="0"/>
      <w:marTop w:val="0"/>
      <w:marBottom w:val="0"/>
      <w:divBdr>
        <w:top w:val="none" w:sz="0" w:space="0" w:color="auto"/>
        <w:left w:val="none" w:sz="0" w:space="0" w:color="auto"/>
        <w:bottom w:val="none" w:sz="0" w:space="0" w:color="auto"/>
        <w:right w:val="none" w:sz="0" w:space="0" w:color="auto"/>
      </w:divBdr>
    </w:div>
    <w:div w:id="679822054">
      <w:bodyDiv w:val="1"/>
      <w:marLeft w:val="0"/>
      <w:marRight w:val="0"/>
      <w:marTop w:val="0"/>
      <w:marBottom w:val="0"/>
      <w:divBdr>
        <w:top w:val="none" w:sz="0" w:space="0" w:color="auto"/>
        <w:left w:val="none" w:sz="0" w:space="0" w:color="auto"/>
        <w:bottom w:val="none" w:sz="0" w:space="0" w:color="auto"/>
        <w:right w:val="none" w:sz="0" w:space="0" w:color="auto"/>
      </w:divBdr>
    </w:div>
    <w:div w:id="1461072205">
      <w:bodyDiv w:val="1"/>
      <w:marLeft w:val="0"/>
      <w:marRight w:val="0"/>
      <w:marTop w:val="0"/>
      <w:marBottom w:val="0"/>
      <w:divBdr>
        <w:top w:val="none" w:sz="0" w:space="0" w:color="auto"/>
        <w:left w:val="none" w:sz="0" w:space="0" w:color="auto"/>
        <w:bottom w:val="none" w:sz="0" w:space="0" w:color="auto"/>
        <w:right w:val="none" w:sz="0" w:space="0" w:color="auto"/>
      </w:divBdr>
    </w:div>
    <w:div w:id="1560289545">
      <w:bodyDiv w:val="1"/>
      <w:marLeft w:val="0"/>
      <w:marRight w:val="0"/>
      <w:marTop w:val="0"/>
      <w:marBottom w:val="0"/>
      <w:divBdr>
        <w:top w:val="none" w:sz="0" w:space="0" w:color="auto"/>
        <w:left w:val="none" w:sz="0" w:space="0" w:color="auto"/>
        <w:bottom w:val="none" w:sz="0" w:space="0" w:color="auto"/>
        <w:right w:val="none" w:sz="0" w:space="0" w:color="auto"/>
      </w:divBdr>
    </w:div>
    <w:div w:id="1836988800">
      <w:bodyDiv w:val="1"/>
      <w:marLeft w:val="0"/>
      <w:marRight w:val="0"/>
      <w:marTop w:val="0"/>
      <w:marBottom w:val="0"/>
      <w:divBdr>
        <w:top w:val="none" w:sz="0" w:space="0" w:color="auto"/>
        <w:left w:val="none" w:sz="0" w:space="0" w:color="auto"/>
        <w:bottom w:val="none" w:sz="0" w:space="0" w:color="auto"/>
        <w:right w:val="none" w:sz="0" w:space="0" w:color="auto"/>
      </w:divBdr>
    </w:div>
    <w:div w:id="1891572147">
      <w:bodyDiv w:val="1"/>
      <w:marLeft w:val="0"/>
      <w:marRight w:val="0"/>
      <w:marTop w:val="0"/>
      <w:marBottom w:val="0"/>
      <w:divBdr>
        <w:top w:val="none" w:sz="0" w:space="0" w:color="auto"/>
        <w:left w:val="none" w:sz="0" w:space="0" w:color="auto"/>
        <w:bottom w:val="none" w:sz="0" w:space="0" w:color="auto"/>
        <w:right w:val="none" w:sz="0" w:space="0" w:color="auto"/>
      </w:divBdr>
    </w:div>
    <w:div w:id="21408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f29.org/lib/download.php?file_name=RES13_ACHIEVING+GENDER+EQUALITY+BY+INCREASING+WOMEN%E2%80%99S+PARTICIPATION+AND+REPRESENTATION.pdf&amp;save_file=a_202112231012570.pdf&amp;meta=free" TargetMode="External"/><Relationship Id="rId13" Type="http://schemas.openxmlformats.org/officeDocument/2006/relationships/header" Target="header3.xml"/><Relationship Id="rId18" Type="http://schemas.openxmlformats.org/officeDocument/2006/relationships/hyperlink" Target="https://sdgs.un.org/goals/goal5" TargetMode="External"/><Relationship Id="rId26" Type="http://schemas.openxmlformats.org/officeDocument/2006/relationships/hyperlink" Target="https://www.canada.ca/en/employment-social-development/programs/laws-regulations/labour/current-future-legislative.html" TargetMode="External"/><Relationship Id="rId39" Type="http://schemas.openxmlformats.org/officeDocument/2006/relationships/hyperlink" Target="https://www.parl.ca/diplomacy/en/associations/uipu/activities-and-reports?pageNumber=1" TargetMode="External"/><Relationship Id="rId3" Type="http://schemas.openxmlformats.org/officeDocument/2006/relationships/styles" Target="styles.xml"/><Relationship Id="rId21" Type="http://schemas.openxmlformats.org/officeDocument/2006/relationships/hyperlink" Target="https://www23.statcan.gc.ca/imdb/p3VD.pl?Function=getVD&amp;TVD=314243&amp;CVD=314244&amp;CPV=0&amp;CST=01012016&amp;CLV=1&amp;MLV=4" TargetMode="External"/><Relationship Id="rId34" Type="http://schemas.openxmlformats.org/officeDocument/2006/relationships/hyperlink" Target="https://ised-isde.canada.ca/site/digital-literacy-exchange-program/en" TargetMode="External"/><Relationship Id="rId42" Type="http://schemas.openxmlformats.org/officeDocument/2006/relationships/hyperlink" Target="https://www.ipu.org/event/role-womens-leadership-and-gender-responsive-parliaments-in-climate-a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urcommons.ca/Members/en/search?parliament=44&amp;caucusId=all&amp;province=all&amp;gender=F" TargetMode="External"/><Relationship Id="rId25" Type="http://schemas.openxmlformats.org/officeDocument/2006/relationships/hyperlink" Target="https://women-gender-equality.canada.ca/en/transparency/departmental-plans/2022-2023/dp-pm-en.pdf" TargetMode="External"/><Relationship Id="rId33" Type="http://schemas.openxmlformats.org/officeDocument/2006/relationships/hyperlink" Target="https://www.canada.ca/en/innovation-science-economic-development/news/2022/07/government-of-canada-announces-additional-funding-for-digital-literacy-skills-training-to-help-more-canadians-get-online.html" TargetMode="External"/><Relationship Id="rId38" Type="http://schemas.openxmlformats.org/officeDocument/2006/relationships/hyperlink" Target="https://bdp.parl.ca/content/lop/IPU/ipu_05_3-e.html" TargetMode="External"/><Relationship Id="rId2" Type="http://schemas.openxmlformats.org/officeDocument/2006/relationships/numbering" Target="numbering.xml"/><Relationship Id="rId16" Type="http://schemas.openxmlformats.org/officeDocument/2006/relationships/hyperlink" Target="https://sencanada.ca/en/senators/" TargetMode="External"/><Relationship Id="rId20" Type="http://schemas.openxmlformats.org/officeDocument/2006/relationships/hyperlink" Target="https://www150.statcan.gc.ca/n1/pub/89-28-0001/2022001/article/00002-eng.htm" TargetMode="External"/><Relationship Id="rId29" Type="http://schemas.openxmlformats.org/officeDocument/2006/relationships/hyperlink" Target="https://letstalkscience.ca/educational-resources/backgrounders/women-in-stem-resources" TargetMode="External"/><Relationship Id="rId41" Type="http://schemas.openxmlformats.org/officeDocument/2006/relationships/hyperlink" Target="https://www.canada.ca/en/women-gender-equality/news/2022/03/canadian-delegation-wraps-up-66th-session-of-the-united-nations-commission-on-the-status-of-wom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anada.ca/en/women-gender-equality/news/2020/07/canadas-country-statement-for-the-64th-session-of-the-united-nations-commission-on-the-status-of-women.html" TargetMode="External"/><Relationship Id="rId32" Type="http://schemas.openxmlformats.org/officeDocument/2006/relationships/hyperlink" Target="https://www.womeninpolitics.ca/about" TargetMode="External"/><Relationship Id="rId37" Type="http://schemas.openxmlformats.org/officeDocument/2006/relationships/hyperlink" Target="https://www.canada.ca/en/global-affairs/news/2022/05/joint-statement-of-foreign-ministers-on-increased-restrictions-on-the-human-rights-of-afghan-women-and-girls.html" TargetMode="External"/><Relationship Id="rId40" Type="http://schemas.openxmlformats.org/officeDocument/2006/relationships/hyperlink" Target="http://archive.ipu.org/pdf/publications/action-gender-e.pdf" TargetMode="External"/><Relationship Id="rId5" Type="http://schemas.openxmlformats.org/officeDocument/2006/relationships/webSettings" Target="webSettings.xml"/><Relationship Id="rId15" Type="http://schemas.openxmlformats.org/officeDocument/2006/relationships/hyperlink" Target="https://www.queensu.ca/gazette/stories/canadian-senate-briefly-reached-gender-parity-here-s-why-it-matters" TargetMode="External"/><Relationship Id="rId23" Type="http://schemas.openxmlformats.org/officeDocument/2006/relationships/hyperlink" Target="https://www.ourcommons.ca/Content/Committee/421/FEWO/Reports/RP10366034/feworp14/feworp14-e.pdf" TargetMode="External"/><Relationship Id="rId28" Type="http://schemas.openxmlformats.org/officeDocument/2006/relationships/hyperlink" Target="https://lmic-cimt.ca/women-in-recovery-covid-19-and-womens-labour-market-participation/" TargetMode="External"/><Relationship Id="rId36" Type="http://schemas.openxmlformats.org/officeDocument/2006/relationships/hyperlink" Target="https://www.international.gc.ca/transparency-transparence/women-peace-security-femmes-paix-securite/2017-2022-action-plan.aspx?lang=eng" TargetMode="External"/><Relationship Id="rId10" Type="http://schemas.openxmlformats.org/officeDocument/2006/relationships/header" Target="header2.xml"/><Relationship Id="rId19" Type="http://schemas.openxmlformats.org/officeDocument/2006/relationships/hyperlink" Target="https://www144.statcan.gc.ca/sdg-odd/goal-objectif05-eng.htm" TargetMode="External"/><Relationship Id="rId31" Type="http://schemas.openxmlformats.org/officeDocument/2006/relationships/hyperlink" Target="https://www.ourcommons.ca/Content/Committee/421/FEWO/Reports/RP10366034/feworp14/feworp14-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m.gc.ca/en/cabinet" TargetMode="External"/><Relationship Id="rId27" Type="http://schemas.openxmlformats.org/officeDocument/2006/relationships/hyperlink" Target="https://www.canada.ca/en/employment-social-development/news/2019/08/government-of-canada-to-provide-better-work-life-balance-for-middle-class-families.html" TargetMode="External"/><Relationship Id="rId30" Type="http://schemas.openxmlformats.org/officeDocument/2006/relationships/hyperlink" Target="https://www150.statcan.gc.ca/n1/pub/89-28-0001/2022001/article/00002-eng.htm" TargetMode="External"/><Relationship Id="rId35" Type="http://schemas.openxmlformats.org/officeDocument/2006/relationships/hyperlink" Target="https://www.international.gc.ca/transparency-transparence/women-peace-security-femmes-paix-securite/2017-2022-action-plan.aspx?lang=e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3077-D92C-4413-949A-8AE68222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Leyne, Siobhan (REPS)</dc:creator>
  <cp:keywords/>
  <cp:lastModifiedBy>Langevin, Nadine : LOP-BDP</cp:lastModifiedBy>
  <cp:revision>5</cp:revision>
  <dcterms:created xsi:type="dcterms:W3CDTF">2022-08-24T13:19:00Z</dcterms:created>
  <dcterms:modified xsi:type="dcterms:W3CDTF">2022-08-24T14:40:00Z</dcterms:modified>
</cp:coreProperties>
</file>